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8E" w:rsidRPr="00DD1E5D" w:rsidRDefault="008B3D8E" w:rsidP="00635746">
      <w:pPr>
        <w:spacing w:before="120"/>
        <w:jc w:val="center"/>
        <w:rPr>
          <w:b/>
          <w:sz w:val="27"/>
          <w:szCs w:val="27"/>
        </w:rPr>
      </w:pPr>
      <w:r w:rsidRPr="00DD1E5D">
        <w:rPr>
          <w:b/>
          <w:sz w:val="27"/>
          <w:szCs w:val="27"/>
        </w:rPr>
        <w:t>DỰ THẢO</w:t>
      </w:r>
    </w:p>
    <w:p w:rsidR="00635746" w:rsidRPr="00DD1E5D" w:rsidRDefault="00635746" w:rsidP="00635746">
      <w:pPr>
        <w:spacing w:before="120"/>
        <w:jc w:val="center"/>
        <w:rPr>
          <w:b/>
          <w:sz w:val="27"/>
          <w:szCs w:val="27"/>
        </w:rPr>
      </w:pPr>
      <w:r w:rsidRPr="00DD1E5D">
        <w:rPr>
          <w:b/>
          <w:sz w:val="27"/>
          <w:szCs w:val="27"/>
        </w:rPr>
        <w:t>BÀI THAM LUẬN</w:t>
      </w:r>
    </w:p>
    <w:p w:rsidR="001564F5" w:rsidRPr="00DD1E5D" w:rsidRDefault="001564F5" w:rsidP="001564F5">
      <w:pPr>
        <w:spacing w:before="120" w:after="120"/>
        <w:ind w:firstLine="720"/>
        <w:jc w:val="both"/>
        <w:rPr>
          <w:b/>
          <w:bCs/>
        </w:rPr>
      </w:pPr>
      <w:r w:rsidRPr="00DD1E5D">
        <w:rPr>
          <w:b/>
        </w:rPr>
        <w:t>C</w:t>
      </w:r>
      <w:r w:rsidRPr="00DD1E5D">
        <w:rPr>
          <w:b/>
          <w:bCs/>
        </w:rPr>
        <w:t xml:space="preserve">ông tác phòng ngừa, đấu tranh với </w:t>
      </w:r>
      <w:r w:rsidR="0017180F" w:rsidRPr="00DD1E5D">
        <w:rPr>
          <w:b/>
          <w:bCs/>
        </w:rPr>
        <w:t xml:space="preserve">các </w:t>
      </w:r>
      <w:r w:rsidRPr="00DD1E5D">
        <w:rPr>
          <w:b/>
          <w:bCs/>
        </w:rPr>
        <w:t xml:space="preserve">hoạt động lợi dụng mạng </w:t>
      </w:r>
      <w:r w:rsidR="005A1F44" w:rsidRPr="00DD1E5D">
        <w:rPr>
          <w:b/>
          <w:bCs/>
        </w:rPr>
        <w:t>truyền</w:t>
      </w:r>
      <w:r w:rsidR="00426208" w:rsidRPr="00DD1E5D">
        <w:rPr>
          <w:b/>
          <w:bCs/>
        </w:rPr>
        <w:t xml:space="preserve"> </w:t>
      </w:r>
      <w:r w:rsidRPr="00DD1E5D">
        <w:rPr>
          <w:b/>
          <w:bCs/>
        </w:rPr>
        <w:t>thông</w:t>
      </w:r>
      <w:r w:rsidR="005A1F44" w:rsidRPr="00DD1E5D">
        <w:rPr>
          <w:b/>
          <w:bCs/>
        </w:rPr>
        <w:t xml:space="preserve"> và</w:t>
      </w:r>
      <w:r w:rsidRPr="00DD1E5D">
        <w:rPr>
          <w:b/>
          <w:bCs/>
        </w:rPr>
        <w:t xml:space="preserve"> mạng bưu chính để vi phạm pháp luật.   </w:t>
      </w:r>
    </w:p>
    <w:p w:rsidR="00C3791B" w:rsidRPr="00DD1E5D" w:rsidRDefault="00C3791B" w:rsidP="00635746">
      <w:pPr>
        <w:spacing w:before="12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DD1E5D" w:rsidRPr="00DD1E5D" w:rsidTr="00877265">
        <w:tc>
          <w:tcPr>
            <w:tcW w:w="1555" w:type="dxa"/>
          </w:tcPr>
          <w:p w:rsidR="00877265" w:rsidRPr="00DD1E5D" w:rsidRDefault="00877265" w:rsidP="007441CA">
            <w:pPr>
              <w:spacing w:before="120" w:after="120"/>
              <w:jc w:val="both"/>
              <w:rPr>
                <w:b/>
              </w:rPr>
            </w:pPr>
            <w:r w:rsidRPr="00DD1E5D">
              <w:t>Kính thưa:</w:t>
            </w:r>
          </w:p>
        </w:tc>
        <w:tc>
          <w:tcPr>
            <w:tcW w:w="7506" w:type="dxa"/>
          </w:tcPr>
          <w:p w:rsidR="00877265" w:rsidRPr="00DD1E5D" w:rsidRDefault="00877265" w:rsidP="007441CA">
            <w:pPr>
              <w:spacing w:before="120" w:after="120"/>
              <w:jc w:val="both"/>
              <w:rPr>
                <w:b/>
              </w:rPr>
            </w:pPr>
            <w:r w:rsidRPr="00DD1E5D">
              <w:rPr>
                <w:b/>
              </w:rPr>
              <w:t>…………………………………………………………………..</w:t>
            </w:r>
          </w:p>
          <w:p w:rsidR="00877265" w:rsidRPr="00DD1E5D" w:rsidRDefault="00877265" w:rsidP="007441CA">
            <w:pPr>
              <w:spacing w:before="120" w:after="120"/>
              <w:jc w:val="both"/>
              <w:rPr>
                <w:b/>
              </w:rPr>
            </w:pPr>
            <w:r w:rsidRPr="00DD1E5D">
              <w:rPr>
                <w:b/>
              </w:rPr>
              <w:t>………………………………………………………………….</w:t>
            </w:r>
          </w:p>
          <w:p w:rsidR="00877265" w:rsidRPr="00DD1E5D" w:rsidRDefault="00877265" w:rsidP="007441CA">
            <w:pPr>
              <w:spacing w:before="120" w:after="120"/>
              <w:jc w:val="both"/>
              <w:rPr>
                <w:b/>
              </w:rPr>
            </w:pPr>
            <w:r w:rsidRPr="00DD1E5D">
              <w:rPr>
                <w:b/>
              </w:rPr>
              <w:t>………………………………………………………………….</w:t>
            </w:r>
          </w:p>
          <w:p w:rsidR="00877265" w:rsidRPr="00DD1E5D" w:rsidRDefault="00877265" w:rsidP="007441CA">
            <w:pPr>
              <w:spacing w:before="120" w:after="120"/>
              <w:jc w:val="both"/>
              <w:rPr>
                <w:b/>
              </w:rPr>
            </w:pPr>
            <w:r w:rsidRPr="00DD1E5D">
              <w:rPr>
                <w:b/>
              </w:rPr>
              <w:t>………………………………………………………………….</w:t>
            </w:r>
          </w:p>
          <w:p w:rsidR="00877265" w:rsidRPr="00DD1E5D" w:rsidRDefault="00877265" w:rsidP="007441CA">
            <w:pPr>
              <w:spacing w:before="120" w:after="120"/>
              <w:jc w:val="both"/>
              <w:rPr>
                <w:b/>
              </w:rPr>
            </w:pPr>
            <w:r w:rsidRPr="00DD1E5D">
              <w:rPr>
                <w:b/>
              </w:rPr>
              <w:t>…………………………………………………………………..</w:t>
            </w:r>
          </w:p>
        </w:tc>
      </w:tr>
    </w:tbl>
    <w:p w:rsidR="00877265" w:rsidRPr="00DD1E5D" w:rsidRDefault="00877265" w:rsidP="007441CA">
      <w:pPr>
        <w:spacing w:before="120" w:after="120"/>
        <w:ind w:firstLine="720"/>
        <w:jc w:val="both"/>
        <w:rPr>
          <w:bCs/>
        </w:rPr>
      </w:pPr>
      <w:r w:rsidRPr="00DD1E5D">
        <w:t xml:space="preserve">Được sự cho phép của </w:t>
      </w:r>
      <w:r w:rsidR="008364BC" w:rsidRPr="00DD1E5D">
        <w:t xml:space="preserve">Ban </w:t>
      </w:r>
      <w:r w:rsidRPr="00DD1E5D">
        <w:t xml:space="preserve">Tổ </w:t>
      </w:r>
      <w:r w:rsidR="008364BC" w:rsidRPr="00DD1E5D">
        <w:t>chức hội nghị</w:t>
      </w:r>
      <w:r w:rsidRPr="00DD1E5D">
        <w:t xml:space="preserve">, </w:t>
      </w:r>
      <w:r w:rsidR="0009361D" w:rsidRPr="00DD1E5D">
        <w:t xml:space="preserve">Thanh tra </w:t>
      </w:r>
      <w:r w:rsidRPr="00DD1E5D">
        <w:t xml:space="preserve">Sở Thông tin và Truyền thông </w:t>
      </w:r>
      <w:r w:rsidR="00DB753E" w:rsidRPr="00DD1E5D">
        <w:t xml:space="preserve">trình bày </w:t>
      </w:r>
      <w:r w:rsidRPr="00DD1E5D">
        <w:t xml:space="preserve">tham luận về </w:t>
      </w:r>
      <w:r w:rsidR="00DB753E" w:rsidRPr="00DD1E5D">
        <w:t>“C</w:t>
      </w:r>
      <w:r w:rsidRPr="00DD1E5D">
        <w:rPr>
          <w:bCs/>
        </w:rPr>
        <w:t xml:space="preserve">ông tác phòng ngừa, đấu tranh với </w:t>
      </w:r>
      <w:r w:rsidR="0009361D" w:rsidRPr="00DD1E5D">
        <w:rPr>
          <w:bCs/>
        </w:rPr>
        <w:t>các</w:t>
      </w:r>
      <w:r w:rsidRPr="00DD1E5D">
        <w:rPr>
          <w:bCs/>
        </w:rPr>
        <w:t xml:space="preserve"> </w:t>
      </w:r>
      <w:r w:rsidR="0077370C" w:rsidRPr="00DD1E5D">
        <w:rPr>
          <w:bCs/>
        </w:rPr>
        <w:t xml:space="preserve">hoạt động lợi dụng mạng </w:t>
      </w:r>
      <w:r w:rsidR="00120273" w:rsidRPr="00DD1E5D">
        <w:rPr>
          <w:bCs/>
        </w:rPr>
        <w:t>truyền thông</w:t>
      </w:r>
      <w:r w:rsidR="0009361D" w:rsidRPr="00DD1E5D">
        <w:rPr>
          <w:bCs/>
        </w:rPr>
        <w:t xml:space="preserve"> và</w:t>
      </w:r>
      <w:r w:rsidR="0077370C" w:rsidRPr="00DD1E5D">
        <w:rPr>
          <w:bCs/>
        </w:rPr>
        <w:t xml:space="preserve"> </w:t>
      </w:r>
      <w:r w:rsidR="005B7F12" w:rsidRPr="00DD1E5D">
        <w:rPr>
          <w:bCs/>
        </w:rPr>
        <w:t>mạng bưu chính để vi phạm pháp luật</w:t>
      </w:r>
      <w:r w:rsidR="00DB753E" w:rsidRPr="00DD1E5D">
        <w:rPr>
          <w:bCs/>
        </w:rPr>
        <w:t>”</w:t>
      </w:r>
      <w:r w:rsidR="005B7F12" w:rsidRPr="00DD1E5D">
        <w:rPr>
          <w:bCs/>
        </w:rPr>
        <w:t xml:space="preserve">.   </w:t>
      </w:r>
    </w:p>
    <w:p w:rsidR="00031446" w:rsidRPr="00DD1E5D" w:rsidRDefault="00031446" w:rsidP="007441CA">
      <w:pPr>
        <w:spacing w:before="120" w:after="120"/>
        <w:ind w:firstLine="720"/>
        <w:jc w:val="both"/>
      </w:pPr>
      <w:r w:rsidRPr="00DD1E5D">
        <w:rPr>
          <w:shd w:val="clear" w:color="auto" w:fill="F3F4F6"/>
        </w:rPr>
        <w:t xml:space="preserve">Trong thời đại công nghệ thông tin phát triển mạnh mẽ như hiện nay, mạng </w:t>
      </w:r>
      <w:r w:rsidR="00120273" w:rsidRPr="00DD1E5D">
        <w:rPr>
          <w:shd w:val="clear" w:color="auto" w:fill="F3F4F6"/>
        </w:rPr>
        <w:t>truyền thông (</w:t>
      </w:r>
      <w:r w:rsidR="00772C56" w:rsidRPr="00DD1E5D">
        <w:rPr>
          <w:shd w:val="clear" w:color="auto" w:fill="F3F4F6"/>
        </w:rPr>
        <w:t xml:space="preserve">viễn </w:t>
      </w:r>
      <w:r w:rsidRPr="00DD1E5D">
        <w:rPr>
          <w:shd w:val="clear" w:color="auto" w:fill="F3F4F6"/>
        </w:rPr>
        <w:t>thông</w:t>
      </w:r>
      <w:r w:rsidR="00772C56" w:rsidRPr="00DD1E5D">
        <w:rPr>
          <w:shd w:val="clear" w:color="auto" w:fill="F3F4F6"/>
        </w:rPr>
        <w:t>, internet</w:t>
      </w:r>
      <w:r w:rsidR="00120273" w:rsidRPr="00DD1E5D">
        <w:rPr>
          <w:shd w:val="clear" w:color="auto" w:fill="F3F4F6"/>
        </w:rPr>
        <w:t>)</w:t>
      </w:r>
      <w:r w:rsidRPr="00DD1E5D">
        <w:rPr>
          <w:shd w:val="clear" w:color="auto" w:fill="F3F4F6"/>
        </w:rPr>
        <w:t xml:space="preserve"> và mạng bưu chính đã trở thành công cụ hữu ích phục vụ đời sống, sản xuất, kinh doanh và phát triển kinh tế - xã hội. Tuy nhiên, bên cạnh những mặt tích cực, thì môi trường mạng cũng tiềm ẩn nhiều nguy cơ, trong đó có hoạt động của các loại tội phạm lợi dụng mạng </w:t>
      </w:r>
      <w:r w:rsidRPr="00DD1E5D">
        <w:rPr>
          <w:bCs/>
        </w:rPr>
        <w:t>thông tin truyền thông</w:t>
      </w:r>
      <w:r w:rsidRPr="00DD1E5D">
        <w:rPr>
          <w:shd w:val="clear" w:color="auto" w:fill="F3F4F6"/>
        </w:rPr>
        <w:t xml:space="preserve">, mạng bưu chính để vi phạm pháp luật. </w:t>
      </w:r>
    </w:p>
    <w:p w:rsidR="007441CA" w:rsidRPr="00DD1E5D" w:rsidRDefault="003E4E17" w:rsidP="007441CA">
      <w:pPr>
        <w:spacing w:before="120" w:after="120"/>
        <w:ind w:firstLine="720"/>
        <w:jc w:val="both"/>
        <w:rPr>
          <w:b/>
        </w:rPr>
      </w:pPr>
      <w:r w:rsidRPr="00DD1E5D">
        <w:rPr>
          <w:b/>
        </w:rPr>
        <w:t xml:space="preserve">I. Công tác quản lý nhà nước </w:t>
      </w:r>
    </w:p>
    <w:p w:rsidR="008D2E6A" w:rsidRPr="00DD1E5D" w:rsidRDefault="00635746" w:rsidP="008D2E6A">
      <w:pPr>
        <w:spacing w:before="120" w:after="120"/>
        <w:ind w:firstLine="720"/>
        <w:jc w:val="both"/>
      </w:pPr>
      <w:r w:rsidRPr="00DD1E5D">
        <w:t>1. Công tác thông tin, tuyên truyền:</w:t>
      </w:r>
    </w:p>
    <w:p w:rsidR="00605B35" w:rsidRPr="00DD1E5D" w:rsidRDefault="008E0BDB" w:rsidP="008D2E6A">
      <w:pPr>
        <w:spacing w:before="120" w:after="120"/>
        <w:ind w:firstLine="720"/>
        <w:jc w:val="both"/>
      </w:pPr>
      <w:r w:rsidRPr="00DD1E5D">
        <w:t xml:space="preserve">Công tác tuyên truyền đóng vai trò quan trọng trong việc phòng ngừa, đấu tranh với tội phạm </w:t>
      </w:r>
      <w:r w:rsidR="008D2E6A" w:rsidRPr="00DD1E5D">
        <w:rPr>
          <w:shd w:val="clear" w:color="auto" w:fill="F3F4F6"/>
        </w:rPr>
        <w:t xml:space="preserve">lợi dụng mạng </w:t>
      </w:r>
      <w:r w:rsidR="008D2E6A" w:rsidRPr="00DD1E5D">
        <w:rPr>
          <w:bCs/>
        </w:rPr>
        <w:t>thông tin truyền thông</w:t>
      </w:r>
      <w:r w:rsidR="008D2E6A" w:rsidRPr="00DD1E5D">
        <w:rPr>
          <w:shd w:val="clear" w:color="auto" w:fill="F3F4F6"/>
        </w:rPr>
        <w:t xml:space="preserve">, mạng bưu chính để vi phạm pháp luật </w:t>
      </w:r>
      <w:r w:rsidRPr="00DD1E5D">
        <w:t>nên từ n</w:t>
      </w:r>
      <w:r w:rsidR="00111FC2" w:rsidRPr="00DD1E5D">
        <w:t>ăm 2023 đến</w:t>
      </w:r>
      <w:r w:rsidR="001B22D8" w:rsidRPr="00DD1E5D">
        <w:t xml:space="preserve"> </w:t>
      </w:r>
      <w:r w:rsidR="004E7FAA" w:rsidRPr="00DD1E5D">
        <w:t>Q</w:t>
      </w:r>
      <w:r w:rsidR="001B22D8" w:rsidRPr="00DD1E5D">
        <w:t>uý I</w:t>
      </w:r>
      <w:r w:rsidR="00B40F82" w:rsidRPr="00DD1E5D">
        <w:t>V</w:t>
      </w:r>
      <w:r w:rsidR="001B22D8" w:rsidRPr="00DD1E5D">
        <w:t xml:space="preserve"> năm 2024</w:t>
      </w:r>
      <w:r w:rsidR="00635746" w:rsidRPr="00DD1E5D">
        <w:t xml:space="preserve">, </w:t>
      </w:r>
      <w:r w:rsidR="00111FC2" w:rsidRPr="00DD1E5D">
        <w:t>Sở</w:t>
      </w:r>
      <w:r w:rsidR="00635746" w:rsidRPr="00DD1E5D">
        <w:t xml:space="preserve"> Thông tin và Truyền thông thường xuyên triển khai văn bản gửi các Sở, ban, ngành và Ủy ban nhân dân huyện, thị, thành phố thông tin về các hành vi lừa đảo, quấy rối, đe doạ, xúc phạm trên các nền tảng mạng, bưu chính, viễn thông</w:t>
      </w:r>
      <w:r w:rsidR="00843C16" w:rsidRPr="00DD1E5D">
        <w:t>, internet</w:t>
      </w:r>
      <w:r w:rsidR="00605B35" w:rsidRPr="00DD1E5D">
        <w:t>; giới thiệu “Cẩm nang phòng, chống tin giả, tin sai sự thật trên không gian mạng” nhằm cung cấp các kiến thức, kỹ năng cơ bản trong việc nhận biết và xử lý vấn nạn tin giả, tin sai sự thật trên không gian mạng</w:t>
      </w:r>
      <w:r w:rsidR="00635746" w:rsidRPr="00DD1E5D">
        <w:t xml:space="preserve"> để các cơ quan, đơn vị, địa phương nắm; trên cơ sở đó, tuyên truyền </w:t>
      </w:r>
      <w:r w:rsidR="00605B35" w:rsidRPr="00DD1E5D">
        <w:t xml:space="preserve">trực tiếp qua các buổi Hội thảo, tọa đàm, tập huấn, sinh hoạt cộng đồng,... </w:t>
      </w:r>
      <w:r w:rsidR="00635746" w:rsidRPr="00DD1E5D">
        <w:t xml:space="preserve">đến cán bộ, đảng viên và nhân dân </w:t>
      </w:r>
      <w:r w:rsidR="00605B35" w:rsidRPr="00DD1E5D">
        <w:t xml:space="preserve">hoặc tuyên truyền trên các phương tiện thông tin đại chúng </w:t>
      </w:r>
      <w:r w:rsidR="00391D49" w:rsidRPr="00DD1E5D">
        <w:t xml:space="preserve">báo chí, truyền hình, mạng xã hội, </w:t>
      </w:r>
      <w:r w:rsidR="00605B35" w:rsidRPr="00DD1E5D">
        <w:t xml:space="preserve">… </w:t>
      </w:r>
      <w:r w:rsidR="00391D49" w:rsidRPr="00DD1E5D">
        <w:t>để nâng cao tinh thần cảnh giác, chủ động phòng, chống tội phạm</w:t>
      </w:r>
      <w:r w:rsidR="008D2E6A" w:rsidRPr="00DD1E5D">
        <w:t xml:space="preserve">. Theo đó, nội dung tuyên truyền tập trung vào: Tuyên truyền, phổ biến kiến thức về an toàn thông tin, kỹ năng sử dụng mạng thông tin truyền thông an toàn, lành mạnh; cảnh báo về phương thức, thủ đoạn hoạt động; tác hại của tội phạm mạng, </w:t>
      </w:r>
      <w:r w:rsidR="00605B35" w:rsidRPr="00DD1E5D">
        <w:t xml:space="preserve">… </w:t>
      </w:r>
    </w:p>
    <w:p w:rsidR="00635746" w:rsidRPr="00DD1E5D" w:rsidRDefault="00772C56" w:rsidP="008D2E6A">
      <w:pPr>
        <w:spacing w:before="120" w:after="120"/>
        <w:ind w:firstLine="720"/>
        <w:jc w:val="both"/>
      </w:pPr>
      <w:r w:rsidRPr="00DD1E5D">
        <w:t>P</w:t>
      </w:r>
      <w:r w:rsidR="00635746" w:rsidRPr="00DD1E5D">
        <w:t>hối hợp Đài Phát thanh – Truyền hình An Giang thực hiện các chuyên mục “Chuyển đổi số và Truyền thông”</w:t>
      </w:r>
      <w:r w:rsidR="00B3037B" w:rsidRPr="00DD1E5D">
        <w:t xml:space="preserve"> trong đó</w:t>
      </w:r>
      <w:r w:rsidR="00635746" w:rsidRPr="00DD1E5D">
        <w:t xml:space="preserve"> tuyên truyền, phổ biến các thủ đoạn lừa đảo công nghệ cao, các thủ đoạn đánh cắp thông tin cá nhân để chiếm đoạt tiền qua tài khoản ngân hàng hoặc dùng thông tin cá nhân đánh cắp được để đi vay nợ tín dụng đen, các hành vi khủng bố qua mạng viễn thông… </w:t>
      </w:r>
      <w:r w:rsidR="00635746" w:rsidRPr="00DD1E5D">
        <w:rPr>
          <w:spacing w:val="2"/>
          <w:lang w:val="es-PE"/>
        </w:rPr>
        <w:t xml:space="preserve">cảnh báo về đặc điểm, dấu </w:t>
      </w:r>
      <w:r w:rsidR="00635746" w:rsidRPr="00DD1E5D">
        <w:rPr>
          <w:spacing w:val="2"/>
          <w:lang w:val="es-PE"/>
        </w:rPr>
        <w:lastRenderedPageBreak/>
        <w:t xml:space="preserve">hiệu, phương thức, thủ đoạn thực hiện để mọi người dân nhận biết, phòng tránh. </w:t>
      </w:r>
      <w:r w:rsidR="00F11895" w:rsidRPr="00DD1E5D">
        <w:rPr>
          <w:spacing w:val="2"/>
          <w:lang w:val="es-PE"/>
        </w:rPr>
        <w:t>Quý II và Quý III năm 2023 thực hiện 02 lượt tuyên truyền; Quý I</w:t>
      </w:r>
      <w:r w:rsidR="00414587" w:rsidRPr="00DD1E5D">
        <w:rPr>
          <w:spacing w:val="2"/>
          <w:lang w:val="es-PE"/>
        </w:rPr>
        <w:t xml:space="preserve">II </w:t>
      </w:r>
      <w:r w:rsidR="00F11895" w:rsidRPr="00DD1E5D">
        <w:rPr>
          <w:spacing w:val="2"/>
          <w:lang w:val="es-PE"/>
        </w:rPr>
        <w:t xml:space="preserve">năm 2024 thực hiện 02 lượt tuyên truyền trên sóng truyền hình An Giang.   </w:t>
      </w:r>
    </w:p>
    <w:p w:rsidR="008E0BDB" w:rsidRPr="00DD1E5D" w:rsidRDefault="001C3FC7" w:rsidP="008E0BDB">
      <w:pPr>
        <w:spacing w:before="120"/>
        <w:ind w:firstLineChars="202" w:firstLine="566"/>
        <w:jc w:val="both"/>
      </w:pPr>
      <w:r w:rsidRPr="00DD1E5D">
        <w:t>Ngoài ra, còn tuyên truyền khuyến cáo người dân không quảng cáo, kinh doanh, sử dụng thiết bị vô tuyến điện bất hợp pháp</w:t>
      </w:r>
      <w:r w:rsidR="001B22D8" w:rsidRPr="00DD1E5D">
        <w:t>.</w:t>
      </w:r>
    </w:p>
    <w:p w:rsidR="008E0BDB" w:rsidRPr="00DD1E5D" w:rsidRDefault="008E0BDB" w:rsidP="00D341A7">
      <w:pPr>
        <w:spacing w:before="120"/>
        <w:ind w:firstLineChars="202" w:firstLine="566"/>
        <w:jc w:val="both"/>
      </w:pPr>
      <w:r w:rsidRPr="00DD1E5D">
        <w:t>Có thể thấy, thông qua công tác tuyên truyền đã giúp người dân hiểu rõ hơn về các loại tội phạm trên môi trường mạng, thủ đoạn hoạt động của chúng, từ đó nâng cao ý thức cảnh giác, tự bảo vệ mình trước các nguy cơ. Đồng thời trang bị kiến thức về an toàn thông tin, kỹ năng sử dụng mạng an toàn, lành mạnh, hạn chế tối đa nguy cơ bị xâm hại bởi tội phạm mạng.</w:t>
      </w:r>
    </w:p>
    <w:p w:rsidR="00635746" w:rsidRPr="00DD1E5D" w:rsidRDefault="00635746" w:rsidP="007441CA">
      <w:pPr>
        <w:spacing w:before="120" w:after="120"/>
        <w:ind w:firstLine="720"/>
        <w:jc w:val="both"/>
      </w:pPr>
      <w:r w:rsidRPr="00DD1E5D">
        <w:t>2. Công</w:t>
      </w:r>
      <w:r w:rsidR="00A67851" w:rsidRPr="00DD1E5D">
        <w:t xml:space="preserve"> tác t</w:t>
      </w:r>
      <w:r w:rsidR="004032E4" w:rsidRPr="00DD1E5D">
        <w:t>hanh tra, kiểm tra</w:t>
      </w:r>
      <w:r w:rsidRPr="00DD1E5D">
        <w:t>:</w:t>
      </w:r>
    </w:p>
    <w:p w:rsidR="00F831E2" w:rsidRPr="00DD1E5D" w:rsidRDefault="00F831E2" w:rsidP="00F831E2">
      <w:pPr>
        <w:spacing w:after="120" w:line="264" w:lineRule="auto"/>
        <w:ind w:firstLine="709"/>
        <w:contextualSpacing/>
        <w:jc w:val="both"/>
      </w:pPr>
      <w:r w:rsidRPr="00DD1E5D">
        <w:t>Giai đoạn năm 202</w:t>
      </w:r>
      <w:r w:rsidR="001E11A3" w:rsidRPr="00DD1E5D">
        <w:t>3</w:t>
      </w:r>
      <w:r w:rsidRPr="00DD1E5D">
        <w:t xml:space="preserve"> – đến </w:t>
      </w:r>
      <w:r w:rsidR="007E71C6" w:rsidRPr="00DD1E5D">
        <w:t>quý</w:t>
      </w:r>
      <w:r w:rsidRPr="00DD1E5D">
        <w:t xml:space="preserve"> </w:t>
      </w:r>
      <w:r w:rsidR="007E71C6" w:rsidRPr="00DD1E5D">
        <w:t>IV</w:t>
      </w:r>
      <w:r w:rsidRPr="00DD1E5D">
        <w:t xml:space="preserve">/2024, </w:t>
      </w:r>
      <w:r w:rsidR="00B30318" w:rsidRPr="00DD1E5D">
        <w:t xml:space="preserve">Thanh tra </w:t>
      </w:r>
      <w:r w:rsidRPr="00DD1E5D">
        <w:t xml:space="preserve">Sở </w:t>
      </w:r>
      <w:r w:rsidR="00B30318" w:rsidRPr="00DD1E5D">
        <w:t>tham mưu</w:t>
      </w:r>
      <w:r w:rsidRPr="00DD1E5D">
        <w:t xml:space="preserve"> hỗ trợ cơ quan Công an tiến hành giám định tư pháp đối với 29 vụ việc liên quan đến thông tin tuyên truyền chống phá nhà nước trên môi trường mạng, 07 vụ việc thông tin sai sự thật, vu khống, xúc phạm danh dự, nhân phẩm của cá nhân, tổ chức trên mạng xã hội. Qua đó tạo điều kiện cho lực lượng Công an đấu tranh, xử lý nghiêm minh các đối tượng đã có những hành vi lợi dụng mạng internet, mạng xã hội để tuyên truyền chống, phá Đảng, Nhà nước; thông tin sai sự thật, vu khống, xúc phạm danh dự cá và tổ chức.</w:t>
      </w:r>
    </w:p>
    <w:p w:rsidR="001E11A3" w:rsidRPr="00DD1E5D" w:rsidRDefault="003E6610" w:rsidP="001E11A3">
      <w:pPr>
        <w:spacing w:before="120" w:after="120" w:line="288" w:lineRule="auto"/>
        <w:ind w:firstLine="567"/>
        <w:jc w:val="both"/>
      </w:pPr>
      <w:r w:rsidRPr="00DD1E5D">
        <w:t xml:space="preserve">Thanh tra </w:t>
      </w:r>
      <w:r w:rsidR="001E11A3" w:rsidRPr="00DD1E5D">
        <w:t xml:space="preserve">Sở TTTT </w:t>
      </w:r>
      <w:r w:rsidR="00760AC0" w:rsidRPr="00DD1E5D">
        <w:t>đã</w:t>
      </w:r>
      <w:r w:rsidR="001E11A3" w:rsidRPr="00DD1E5D">
        <w:t xml:space="preserve"> hỗ trợ Công an tỉnh xác minh thông tin chủ thuê bao, số IMEI của điện thoại đối với 12 thuê bao di động phục vụ công tác phá án. Hỗ trợ công an tỉnh xác minh thông tin 316 địa chỉ IP truy cập các giao dịch chuyển tiền qua các số tài khoản ngân hàng liên quan đến lừa đảo công nghệ cao.</w:t>
      </w:r>
    </w:p>
    <w:p w:rsidR="003E6610" w:rsidRPr="00DD1E5D" w:rsidRDefault="008168DF" w:rsidP="003E6610">
      <w:pPr>
        <w:tabs>
          <w:tab w:val="left" w:pos="748"/>
          <w:tab w:val="center" w:pos="1870"/>
          <w:tab w:val="center" w:pos="6545"/>
        </w:tabs>
        <w:spacing w:before="120" w:line="240" w:lineRule="atLeast"/>
        <w:jc w:val="both"/>
      </w:pPr>
      <w:r w:rsidRPr="00DD1E5D">
        <w:tab/>
      </w:r>
      <w:r w:rsidR="004032E4" w:rsidRPr="00DD1E5D">
        <w:t>K</w:t>
      </w:r>
      <w:r w:rsidR="003E6610" w:rsidRPr="00DD1E5D">
        <w:t>iến nghị Cục viễn thông khoá 02 chiều đối với 113 số thuê bao điện thoại di động có hành vi quấy rối, mạo danh, cung cấp thông tin giả nhằm lừa đảo người dân, tổ chức kể cả cơ quan nhà nước.​</w:t>
      </w:r>
    </w:p>
    <w:p w:rsidR="004032E4" w:rsidRPr="00DD1E5D" w:rsidRDefault="004032E4" w:rsidP="003E6610">
      <w:pPr>
        <w:tabs>
          <w:tab w:val="left" w:pos="748"/>
          <w:tab w:val="center" w:pos="1870"/>
          <w:tab w:val="center" w:pos="6545"/>
        </w:tabs>
        <w:spacing w:before="120" w:line="240" w:lineRule="atLeast"/>
        <w:jc w:val="both"/>
      </w:pPr>
      <w:r w:rsidRPr="00DD1E5D">
        <w:tab/>
        <w:t>Tham mưu</w:t>
      </w:r>
      <w:r w:rsidRPr="00DD1E5D">
        <w:rPr>
          <w:szCs w:val="26"/>
        </w:rPr>
        <w:t xml:space="preserve"> xử lý đơn thư tố cáo, phản ánh, kiến nghị: Trong năm có </w:t>
      </w:r>
      <w:r w:rsidR="00904AFE" w:rsidRPr="00DD1E5D">
        <w:rPr>
          <w:szCs w:val="26"/>
        </w:rPr>
        <w:t>27</w:t>
      </w:r>
      <w:r w:rsidRPr="00DD1E5D">
        <w:rPr>
          <w:szCs w:val="26"/>
        </w:rPr>
        <w:t xml:space="preserve"> lượt tiếp nhận phản ánh ánh, kiến nghị của công dân qua đường bưu điện về việc sử dụng trang mạng xã hội giả mạo, đăng tải, chia sẽ thông tin xúc phạm, xuyên tạc, vu khống, bôi nhọ… gây ảnh hưởng đến uy tín cá nhân, tổ chức.  </w:t>
      </w:r>
    </w:p>
    <w:p w:rsidR="00BB3D5A" w:rsidRPr="00DD1E5D" w:rsidRDefault="00BB3D5A" w:rsidP="00BB3D5A">
      <w:pPr>
        <w:tabs>
          <w:tab w:val="left" w:pos="3930"/>
          <w:tab w:val="left" w:pos="6285"/>
        </w:tabs>
        <w:spacing w:before="120"/>
        <w:jc w:val="both"/>
        <w:rPr>
          <w:bCs/>
        </w:rPr>
      </w:pPr>
      <w:r w:rsidRPr="00DD1E5D">
        <w:rPr>
          <w:bCs/>
        </w:rPr>
        <w:t xml:space="preserve">       </w:t>
      </w:r>
      <w:r w:rsidR="008E1EFD" w:rsidRPr="00DD1E5D">
        <w:rPr>
          <w:bCs/>
        </w:rPr>
        <w:t xml:space="preserve">  </w:t>
      </w:r>
      <w:r w:rsidRPr="00DD1E5D">
        <w:rPr>
          <w:bCs/>
        </w:rPr>
        <w:t xml:space="preserve"> </w:t>
      </w:r>
      <w:r w:rsidR="00CE365F" w:rsidRPr="00DD1E5D">
        <w:rPr>
          <w:bCs/>
        </w:rPr>
        <w:t>K</w:t>
      </w:r>
      <w:r w:rsidRPr="00DD1E5D">
        <w:rPr>
          <w:bCs/>
        </w:rPr>
        <w:t>iểm tra đột xuất việc chấp hành pháp luật về quy chuẩn kỹ thuật quốc gia về thiết bị đầu cuối thông tin di động mặt đất đối với các tổ chức, cá nhân thực hiện hoạt động nhập khẩu, phân phối, lưu thông, mua bán điện thoại di động mặt đất trên địa bàn tỉnh An Giang</w:t>
      </w:r>
      <w:r w:rsidR="00CE365F" w:rsidRPr="00DD1E5D">
        <w:rPr>
          <w:bCs/>
        </w:rPr>
        <w:t xml:space="preserve">. </w:t>
      </w:r>
      <w:r w:rsidR="00CE365F" w:rsidRPr="00DD1E5D">
        <w:t>Đã kiểm tra trên địa bàn toàn tỉnh 142 doanh nghiệp, hộ kinh doanh</w:t>
      </w:r>
      <w:r w:rsidR="008E1EFD" w:rsidRPr="00DD1E5D">
        <w:t>, hàng hoá kiểm tra (477 thiết bị đầu cuối TTDĐ mặt đất) đang bán tại các đơn vị đều có chứng nhận và công bố hợp quy, gắn dấu hộp quy trên thân máy hoặc vỏ hộp theo quy định, có hóa đơn, chứng từ thể hiện nguồn gốc hợp pháp.</w:t>
      </w:r>
      <w:r w:rsidR="00CE365F" w:rsidRPr="00DD1E5D">
        <w:t xml:space="preserve"> </w:t>
      </w:r>
    </w:p>
    <w:p w:rsidR="006F7206" w:rsidRPr="00DD1E5D" w:rsidRDefault="006F7206" w:rsidP="006F7206">
      <w:pPr>
        <w:spacing w:before="120" w:after="120"/>
        <w:ind w:firstLine="720"/>
        <w:jc w:val="both"/>
      </w:pPr>
      <w:r w:rsidRPr="00DD1E5D">
        <w:t xml:space="preserve">Đối với lĩnh vực </w:t>
      </w:r>
      <w:r w:rsidR="00CA0E57" w:rsidRPr="00DD1E5D">
        <w:t>B</w:t>
      </w:r>
      <w:r w:rsidRPr="00DD1E5D">
        <w:t xml:space="preserve">ưu chính, đã tiến hành kiểm tra tại </w:t>
      </w:r>
      <w:r w:rsidR="00FB7840" w:rsidRPr="00DD1E5D">
        <w:t>13</w:t>
      </w:r>
      <w:r w:rsidRPr="00DD1E5D">
        <w:t xml:space="preserve"> doanh nghiệp kinh doanh về lĩnh vực bưu chính, chuyển phát trên địa bàn thành phố Long Xuyên, huyện Châu Phú và thành phố Châu Đốc.</w:t>
      </w:r>
    </w:p>
    <w:p w:rsidR="006F7206" w:rsidRPr="00DD1E5D" w:rsidRDefault="006F7206" w:rsidP="00681213">
      <w:pPr>
        <w:pStyle w:val="BodyText"/>
        <w:spacing w:before="120"/>
        <w:ind w:firstLine="630"/>
        <w:jc w:val="both"/>
        <w:rPr>
          <w:rFonts w:ascii="Times New Roman" w:hAnsi="Times New Roman"/>
          <w:szCs w:val="28"/>
        </w:rPr>
      </w:pPr>
      <w:r w:rsidRPr="00DD1E5D">
        <w:rPr>
          <w:rFonts w:ascii="Times New Roman" w:hAnsi="Times New Roman"/>
          <w:szCs w:val="28"/>
        </w:rPr>
        <w:t>Các</w:t>
      </w:r>
      <w:r w:rsidR="00F67DC3" w:rsidRPr="00DD1E5D">
        <w:rPr>
          <w:rFonts w:ascii="Times New Roman" w:hAnsi="Times New Roman"/>
          <w:szCs w:val="28"/>
        </w:rPr>
        <w:t xml:space="preserve"> </w:t>
      </w:r>
      <w:r w:rsidRPr="00DD1E5D">
        <w:rPr>
          <w:rFonts w:ascii="Times New Roman" w:hAnsi="Times New Roman"/>
        </w:rPr>
        <w:t xml:space="preserve">doanh nghiệp đều có </w:t>
      </w:r>
      <w:r w:rsidRPr="00DD1E5D">
        <w:rPr>
          <w:rFonts w:ascii="Times New Roman" w:hAnsi="Times New Roman"/>
          <w:lang w:val="vi-VN"/>
        </w:rPr>
        <w:t>Giấy phép bưu chính</w:t>
      </w:r>
      <w:r w:rsidRPr="00DD1E5D">
        <w:rPr>
          <w:rFonts w:ascii="Times New Roman" w:hAnsi="Times New Roman"/>
        </w:rPr>
        <w:t xml:space="preserve"> hoặc </w:t>
      </w:r>
      <w:r w:rsidRPr="00DD1E5D">
        <w:rPr>
          <w:rFonts w:ascii="Times New Roman" w:hAnsi="Times New Roman"/>
          <w:lang w:val="vi-VN"/>
        </w:rPr>
        <w:t>văn bản xác nhận thông báo hoạt động bưu chính</w:t>
      </w:r>
      <w:r w:rsidRPr="00DD1E5D">
        <w:rPr>
          <w:rFonts w:ascii="Times New Roman" w:hAnsi="Times New Roman"/>
        </w:rPr>
        <w:t xml:space="preserve">; </w:t>
      </w:r>
      <w:r w:rsidRPr="00DD1E5D">
        <w:rPr>
          <w:rFonts w:ascii="Times New Roman" w:hAnsi="Times New Roman"/>
          <w:bCs/>
          <w:iCs/>
          <w:szCs w:val="28"/>
        </w:rPr>
        <w:t>T</w:t>
      </w:r>
      <w:r w:rsidRPr="00DD1E5D">
        <w:rPr>
          <w:rFonts w:ascii="Times New Roman" w:hAnsi="Times New Roman"/>
          <w:bCs/>
          <w:iCs/>
          <w:szCs w:val="28"/>
          <w:lang w:val="vi-VN"/>
        </w:rPr>
        <w:t xml:space="preserve">hực hiện nghiêm chỉnh quy định đối với vật phẩm, hàng hóa, bưu gửi nằm trong danh mục được và không được gửi, chấp nhận, vận chuyển </w:t>
      </w:r>
      <w:r w:rsidRPr="00DD1E5D">
        <w:rPr>
          <w:rFonts w:ascii="Times New Roman" w:hAnsi="Times New Roman"/>
          <w:bCs/>
          <w:iCs/>
          <w:szCs w:val="28"/>
          <w:lang w:val="vi-VN"/>
        </w:rPr>
        <w:lastRenderedPageBreak/>
        <w:t>qua mạng bưu chín</w:t>
      </w:r>
      <w:r w:rsidRPr="00DD1E5D">
        <w:rPr>
          <w:rFonts w:ascii="Times New Roman" w:hAnsi="Times New Roman"/>
          <w:bCs/>
          <w:iCs/>
          <w:szCs w:val="28"/>
        </w:rPr>
        <w:t>h; và t</w:t>
      </w:r>
      <w:r w:rsidRPr="00DD1E5D">
        <w:rPr>
          <w:rFonts w:ascii="Times New Roman" w:hAnsi="Times New Roman"/>
          <w:bCs/>
          <w:iCs/>
          <w:szCs w:val="28"/>
          <w:lang w:val="vi-VN"/>
        </w:rPr>
        <w:t>hực hiện</w:t>
      </w:r>
      <w:r w:rsidRPr="00DD1E5D">
        <w:rPr>
          <w:rFonts w:ascii="Times New Roman" w:hAnsi="Times New Roman"/>
          <w:bCs/>
          <w:iCs/>
          <w:szCs w:val="28"/>
        </w:rPr>
        <w:t xml:space="preserve"> tốt</w:t>
      </w:r>
      <w:r w:rsidRPr="00DD1E5D">
        <w:rPr>
          <w:rFonts w:ascii="Times New Roman" w:hAnsi="Times New Roman"/>
          <w:bCs/>
          <w:iCs/>
          <w:szCs w:val="28"/>
          <w:lang w:val="vi-VN"/>
        </w:rPr>
        <w:t xml:space="preserve"> các quy định đối với việc đảm bảo an toàn, an ninh trong cung ứng và sử dụng dịch vụ bưu chính</w:t>
      </w:r>
      <w:r w:rsidRPr="00DD1E5D">
        <w:rPr>
          <w:rFonts w:ascii="Times New Roman" w:hAnsi="Times New Roman"/>
          <w:bCs/>
          <w:iCs/>
          <w:szCs w:val="28"/>
        </w:rPr>
        <w:t>.</w:t>
      </w:r>
      <w:r w:rsidR="005E387D" w:rsidRPr="00DD1E5D">
        <w:rPr>
          <w:rFonts w:ascii="Times New Roman" w:hAnsi="Times New Roman"/>
          <w:bCs/>
          <w:iCs/>
          <w:szCs w:val="28"/>
        </w:rPr>
        <w:t xml:space="preserve"> Không vi phạm vận chuyển hàng cấm, </w:t>
      </w:r>
      <w:r w:rsidR="0074777C" w:rsidRPr="00DD1E5D">
        <w:rPr>
          <w:rFonts w:ascii="Times New Roman" w:hAnsi="Times New Roman"/>
          <w:bCs/>
          <w:iCs/>
          <w:szCs w:val="28"/>
        </w:rPr>
        <w:t xml:space="preserve">hàng </w:t>
      </w:r>
      <w:r w:rsidR="005D136C" w:rsidRPr="00DD1E5D">
        <w:rPr>
          <w:rFonts w:ascii="Times New Roman" w:hAnsi="Times New Roman"/>
          <w:bCs/>
          <w:iCs/>
          <w:szCs w:val="28"/>
        </w:rPr>
        <w:t>giả, hàng không rõ nguồn gốc, xuất xứ.</w:t>
      </w:r>
    </w:p>
    <w:p w:rsidR="00F67DC3" w:rsidRPr="00DD1E5D" w:rsidRDefault="00F67DC3" w:rsidP="00681213">
      <w:pPr>
        <w:pStyle w:val="BodyText"/>
        <w:spacing w:before="120"/>
        <w:ind w:firstLine="630"/>
        <w:jc w:val="both"/>
        <w:rPr>
          <w:rFonts w:ascii="Times New Roman" w:hAnsi="Times New Roman"/>
          <w:szCs w:val="28"/>
        </w:rPr>
      </w:pPr>
      <w:r w:rsidRPr="00DD1E5D">
        <w:rPr>
          <w:rFonts w:ascii="Times New Roman" w:hAnsi="Times New Roman"/>
          <w:szCs w:val="28"/>
        </w:rPr>
        <w:t>3. Công tác phối hợp:</w:t>
      </w:r>
      <w:bookmarkStart w:id="0" w:name="_GoBack"/>
      <w:bookmarkEnd w:id="0"/>
    </w:p>
    <w:p w:rsidR="00760AC0" w:rsidRPr="00DD1E5D" w:rsidRDefault="00760AC0" w:rsidP="00760AC0">
      <w:pPr>
        <w:tabs>
          <w:tab w:val="left" w:pos="851"/>
        </w:tabs>
        <w:spacing w:after="120" w:line="264" w:lineRule="auto"/>
        <w:ind w:firstLine="720"/>
        <w:contextualSpacing/>
        <w:jc w:val="both"/>
      </w:pPr>
      <w:r w:rsidRPr="00DD1E5D">
        <w:t xml:space="preserve">Đã phối hợp Phòng </w:t>
      </w:r>
      <w:r w:rsidR="00397215" w:rsidRPr="00DD1E5D">
        <w:t>PA05</w:t>
      </w:r>
      <w:r w:rsidRPr="00DD1E5D">
        <w:t xml:space="preserve"> (Công an tỉnh) xử lý các tài khoản mạng xã hội đăng, chia sẻ thông tin sai sự thật, mê tín dị đoan. Qua đó, Thanh tra Sở đã xử phạt vi phạm hành chính đối với 05 đối tượng (01 chủ tài khoản Tiktok; 04 chủ tài khoản Youtube) đã có hành vi vi phạm các nội dung nêu trên (tổng số tiền xử phạt vi phạm hành chính là 25.000.000 đồng).</w:t>
      </w:r>
    </w:p>
    <w:p w:rsidR="00F67DC3" w:rsidRPr="00DD1E5D" w:rsidRDefault="00EE5D68" w:rsidP="00F67DC3">
      <w:pPr>
        <w:pStyle w:val="BodyText"/>
        <w:spacing w:before="120"/>
        <w:ind w:firstLine="630"/>
        <w:jc w:val="both"/>
        <w:rPr>
          <w:rFonts w:ascii="Times New Roman" w:hAnsi="Times New Roman"/>
          <w:szCs w:val="28"/>
        </w:rPr>
      </w:pPr>
      <w:r w:rsidRPr="00DD1E5D">
        <w:rPr>
          <w:rFonts w:ascii="Times New Roman" w:hAnsi="Times New Roman"/>
          <w:szCs w:val="28"/>
        </w:rPr>
        <w:t>P</w:t>
      </w:r>
      <w:r w:rsidR="00F67DC3" w:rsidRPr="00DD1E5D">
        <w:rPr>
          <w:rFonts w:ascii="Times New Roman" w:hAnsi="Times New Roman"/>
          <w:szCs w:val="28"/>
        </w:rPr>
        <w:t>hối hợp phòng PC02 - Công an tỉnh xác minh, xử lý việc sử dụng SIM không chính chủ</w:t>
      </w:r>
      <w:r w:rsidRPr="00DD1E5D">
        <w:rPr>
          <w:rFonts w:ascii="Times New Roman" w:hAnsi="Times New Roman"/>
          <w:szCs w:val="28"/>
        </w:rPr>
        <w:t xml:space="preserve"> </w:t>
      </w:r>
      <w:r w:rsidR="00F67DC3" w:rsidRPr="00DD1E5D">
        <w:rPr>
          <w:rFonts w:ascii="Times New Roman" w:hAnsi="Times New Roman"/>
          <w:szCs w:val="28"/>
        </w:rPr>
        <w:t>(khoảng 10.000 SIM)</w:t>
      </w:r>
      <w:r w:rsidR="00121972" w:rsidRPr="00DD1E5D">
        <w:rPr>
          <w:rFonts w:ascii="Times New Roman" w:hAnsi="Times New Roman"/>
          <w:szCs w:val="28"/>
        </w:rPr>
        <w:t>; 85 thiết bị đầu cuối di động mặt đất không chứng nhận hợp quy, không công bố hợp quy</w:t>
      </w:r>
      <w:r w:rsidR="00F67DC3" w:rsidRPr="00DD1E5D">
        <w:rPr>
          <w:rFonts w:ascii="Times New Roman" w:hAnsi="Times New Roman"/>
          <w:szCs w:val="28"/>
        </w:rPr>
        <w:t xml:space="preserve"> tại địa chỉ số 57 đường Vũ Ngọc Phan, phường Mỹ Thới, thành phố Long Xuyên. </w:t>
      </w:r>
    </w:p>
    <w:p w:rsidR="00635746" w:rsidRPr="00DD1E5D" w:rsidRDefault="003E4E17" w:rsidP="007441CA">
      <w:pPr>
        <w:spacing w:before="120" w:after="120"/>
        <w:ind w:firstLine="720"/>
        <w:rPr>
          <w:b/>
        </w:rPr>
      </w:pPr>
      <w:r w:rsidRPr="00DD1E5D">
        <w:rPr>
          <w:b/>
        </w:rPr>
        <w:t>II</w:t>
      </w:r>
      <w:r w:rsidR="00635746" w:rsidRPr="00DD1E5D">
        <w:rPr>
          <w:b/>
        </w:rPr>
        <w:t xml:space="preserve">. Nhiệm vụ, giải pháp </w:t>
      </w:r>
      <w:r w:rsidR="008D7140" w:rsidRPr="00DD1E5D">
        <w:rPr>
          <w:b/>
        </w:rPr>
        <w:t xml:space="preserve">ngành TTTT </w:t>
      </w:r>
      <w:r w:rsidR="00635746" w:rsidRPr="00DD1E5D">
        <w:rPr>
          <w:b/>
        </w:rPr>
        <w:t>trong thời gian tới:</w:t>
      </w:r>
    </w:p>
    <w:p w:rsidR="00635746" w:rsidRPr="00DD1E5D" w:rsidRDefault="00635746" w:rsidP="007441CA">
      <w:pPr>
        <w:pStyle w:val="BodyText"/>
        <w:spacing w:before="120" w:after="120"/>
        <w:ind w:firstLine="720"/>
        <w:jc w:val="both"/>
        <w:rPr>
          <w:rFonts w:ascii="Times New Roman" w:hAnsi="Times New Roman"/>
          <w:szCs w:val="28"/>
        </w:rPr>
      </w:pPr>
      <w:r w:rsidRPr="00DD1E5D">
        <w:rPr>
          <w:rFonts w:ascii="Times New Roman" w:hAnsi="Times New Roman"/>
          <w:szCs w:val="28"/>
        </w:rPr>
        <w:t xml:space="preserve">- Phối hợp Công an tỉnh triển khai các biện pháp phòng, chống tội phạm và vi phạm pháp luật trên lĩnh vực </w:t>
      </w:r>
      <w:r w:rsidR="00111A69" w:rsidRPr="00DD1E5D">
        <w:rPr>
          <w:rFonts w:ascii="Times New Roman" w:hAnsi="Times New Roman"/>
          <w:szCs w:val="28"/>
        </w:rPr>
        <w:t xml:space="preserve">không gian </w:t>
      </w:r>
      <w:r w:rsidR="00F71EAA" w:rsidRPr="00DD1E5D">
        <w:rPr>
          <w:rFonts w:ascii="Times New Roman" w:hAnsi="Times New Roman"/>
          <w:szCs w:val="28"/>
        </w:rPr>
        <w:t>mạng</w:t>
      </w:r>
      <w:r w:rsidRPr="00DD1E5D">
        <w:rPr>
          <w:rFonts w:ascii="Times New Roman" w:hAnsi="Times New Roman"/>
          <w:szCs w:val="28"/>
        </w:rPr>
        <w:t xml:space="preserve">; kịp thời phát hiện, đấu tranh ngăn chặn những phương thức, thủ đoạn hoạt động của tội phạm mới trong lĩnh vực công nghệ </w:t>
      </w:r>
      <w:r w:rsidR="00F71EAA" w:rsidRPr="00DD1E5D">
        <w:rPr>
          <w:rFonts w:ascii="Times New Roman" w:hAnsi="Times New Roman"/>
          <w:szCs w:val="28"/>
        </w:rPr>
        <w:t>cao</w:t>
      </w:r>
      <w:r w:rsidRPr="00DD1E5D">
        <w:rPr>
          <w:rFonts w:ascii="Times New Roman" w:hAnsi="Times New Roman"/>
          <w:szCs w:val="28"/>
        </w:rPr>
        <w:t xml:space="preserve">; thu thập chứng cứ điện tử phục vụ công tác điều tra. </w:t>
      </w:r>
      <w:r w:rsidR="00F71EAA" w:rsidRPr="00DD1E5D">
        <w:rPr>
          <w:rFonts w:ascii="Times New Roman" w:hAnsi="Times New Roman"/>
          <w:szCs w:val="28"/>
        </w:rPr>
        <w:t>Phối hợp</w:t>
      </w:r>
      <w:r w:rsidRPr="00DD1E5D">
        <w:rPr>
          <w:rFonts w:ascii="Times New Roman" w:hAnsi="Times New Roman"/>
          <w:szCs w:val="28"/>
        </w:rPr>
        <w:t xml:space="preserve"> các doanh nghiệp cung cấp dịch vụ viễn thông thực hiện yêu cầu của cơ quan chức năng trong công tác thanh tra, điều tra xử lý các hành vi vi phạm, dấu hiệu tội phạm… vận dụng cơ sở pháp lý; triển khai các giải pháp kỹ thuật và bảo mật trong ứng dụng mạng Internet, mạng xã hội phục vụ công tác đấu tranh phòng, chống tội phạm.</w:t>
      </w:r>
    </w:p>
    <w:p w:rsidR="00635746" w:rsidRPr="00DD1E5D" w:rsidRDefault="00635746" w:rsidP="007441CA">
      <w:pPr>
        <w:pStyle w:val="BodyText"/>
        <w:spacing w:before="120" w:after="120"/>
        <w:ind w:firstLine="709"/>
        <w:jc w:val="both"/>
        <w:rPr>
          <w:rFonts w:ascii="Times New Roman" w:hAnsi="Times New Roman"/>
          <w:szCs w:val="28"/>
          <w:lang w:val="pt-BR"/>
        </w:rPr>
      </w:pPr>
      <w:r w:rsidRPr="00DD1E5D">
        <w:rPr>
          <w:rFonts w:ascii="Times New Roman" w:hAnsi="Times New Roman"/>
          <w:szCs w:val="28"/>
        </w:rPr>
        <w:t xml:space="preserve">- </w:t>
      </w:r>
      <w:r w:rsidR="00833B5D" w:rsidRPr="00DD1E5D">
        <w:rPr>
          <w:rFonts w:ascii="Times New Roman" w:hAnsi="Times New Roman"/>
          <w:szCs w:val="28"/>
        </w:rPr>
        <w:t>T</w:t>
      </w:r>
      <w:r w:rsidRPr="00DD1E5D">
        <w:rPr>
          <w:rFonts w:ascii="Times New Roman" w:hAnsi="Times New Roman"/>
          <w:szCs w:val="28"/>
          <w:lang w:val="vi-VN"/>
        </w:rPr>
        <w:t>hường xuyên đưa tin, bài, phóng sự, chuyên mục tuyên truyền về phương thức, thủ đoạn hoạt động của các loại tội phạm, nhất là tội phạm</w:t>
      </w:r>
      <w:r w:rsidRPr="00DD1E5D">
        <w:rPr>
          <w:rFonts w:ascii="Times New Roman" w:hAnsi="Times New Roman"/>
          <w:szCs w:val="28"/>
        </w:rPr>
        <w:t xml:space="preserve"> quấy rối, khủng bố,</w:t>
      </w:r>
      <w:r w:rsidRPr="00DD1E5D">
        <w:rPr>
          <w:rFonts w:ascii="Times New Roman" w:hAnsi="Times New Roman"/>
          <w:szCs w:val="28"/>
          <w:lang w:val="vi-VN"/>
        </w:rPr>
        <w:t xml:space="preserve"> lừa đảo sử dụng công nghệ cao</w:t>
      </w:r>
      <w:r w:rsidRPr="00DD1E5D">
        <w:rPr>
          <w:rFonts w:ascii="Times New Roman" w:hAnsi="Times New Roman"/>
          <w:szCs w:val="28"/>
        </w:rPr>
        <w:t>,</w:t>
      </w:r>
      <w:r w:rsidRPr="00DD1E5D">
        <w:rPr>
          <w:rFonts w:ascii="Times New Roman" w:hAnsi="Times New Roman"/>
          <w:szCs w:val="28"/>
          <w:lang w:val="vi-VN"/>
        </w:rPr>
        <w:t xml:space="preserve"> để </w:t>
      </w:r>
      <w:r w:rsidR="00C61723" w:rsidRPr="00DD1E5D">
        <w:rPr>
          <w:rFonts w:ascii="Times New Roman" w:hAnsi="Times New Roman"/>
          <w:szCs w:val="28"/>
        </w:rPr>
        <w:t>người</w:t>
      </w:r>
      <w:r w:rsidRPr="00DD1E5D">
        <w:rPr>
          <w:rFonts w:ascii="Times New Roman" w:hAnsi="Times New Roman"/>
          <w:szCs w:val="28"/>
          <w:lang w:val="vi-VN"/>
        </w:rPr>
        <w:t xml:space="preserve"> dân cảnh giác, chủ động phòng ngừa và tích cực tham gia tố giác</w:t>
      </w:r>
      <w:r w:rsidR="00C61723" w:rsidRPr="00DD1E5D">
        <w:rPr>
          <w:rFonts w:ascii="Times New Roman" w:hAnsi="Times New Roman"/>
          <w:szCs w:val="28"/>
        </w:rPr>
        <w:t xml:space="preserve"> tội phạm</w:t>
      </w:r>
      <w:r w:rsidRPr="00DD1E5D">
        <w:rPr>
          <w:rFonts w:ascii="Times New Roman" w:hAnsi="Times New Roman"/>
          <w:szCs w:val="28"/>
          <w:lang w:val="pt-BR"/>
        </w:rPr>
        <w:t xml:space="preserve">; tăng cường công tác thanh tra, kiểm tra việc quản lý thông tin thuê bao di động tại các doanh nghiệp kinh doanh dịch vụ viễn thông để </w:t>
      </w:r>
      <w:r w:rsidR="00A60069" w:rsidRPr="00DD1E5D">
        <w:rPr>
          <w:rFonts w:ascii="Times New Roman" w:hAnsi="Times New Roman"/>
          <w:szCs w:val="28"/>
          <w:lang w:val="pt-BR"/>
        </w:rPr>
        <w:t>loại bỏ SIM rác.</w:t>
      </w:r>
    </w:p>
    <w:p w:rsidR="00A66018" w:rsidRPr="00DD1E5D" w:rsidRDefault="00635746" w:rsidP="007441CA">
      <w:pPr>
        <w:spacing w:before="120" w:after="120"/>
        <w:ind w:firstLine="706"/>
        <w:jc w:val="both"/>
      </w:pPr>
      <w:r w:rsidRPr="00DD1E5D">
        <w:t xml:space="preserve">- </w:t>
      </w:r>
      <w:r w:rsidR="00833B5D" w:rsidRPr="00DD1E5D">
        <w:t>T</w:t>
      </w:r>
      <w:r w:rsidRPr="00DD1E5D">
        <w:t>hường xuyên phối hợp Đài Phát thanh – Truyền hình An Giang thực hiện chuyên mục “tuyên truyền, phổ biến Quy tắc ứng xử trên môi trường mạng</w:t>
      </w:r>
      <w:r w:rsidR="00E10192" w:rsidRPr="00DD1E5D">
        <w:t>, cảnh giác với các thủ đoạn lừa đảo, vay tiền qua APP</w:t>
      </w:r>
      <w:r w:rsidRPr="00DD1E5D">
        <w:t xml:space="preserve">…”. Công tác tuyên truyền, phổ biến thực hiện trên Cổng thông tin điện tử Sở, các phương tiện thông tin đại chúng, Đài truyền thanh cơ sở nhằm kịp thời phổ biến đến cán bộ, công chức, các doanh nghiệp và người dân ý thức với các </w:t>
      </w:r>
      <w:r w:rsidRPr="00DD1E5D">
        <w:rPr>
          <w:lang w:val="vi-VN"/>
        </w:rPr>
        <w:t>thủ đoạn hoạt động của các loại tội phạm, nhất là tội phạm</w:t>
      </w:r>
      <w:r w:rsidRPr="00DD1E5D">
        <w:t xml:space="preserve"> quấy rối, khủng bố,</w:t>
      </w:r>
      <w:r w:rsidRPr="00DD1E5D">
        <w:rPr>
          <w:lang w:val="vi-VN"/>
        </w:rPr>
        <w:t xml:space="preserve"> lừa đảo sử dụng công nghệ cao</w:t>
      </w:r>
      <w:r w:rsidR="00A66018" w:rsidRPr="00DD1E5D">
        <w:t>.</w:t>
      </w:r>
    </w:p>
    <w:p w:rsidR="00833B5D" w:rsidRPr="00DD1E5D" w:rsidRDefault="00833B5D" w:rsidP="00833B5D">
      <w:pPr>
        <w:spacing w:before="120" w:after="120"/>
        <w:ind w:firstLine="720"/>
        <w:jc w:val="both"/>
        <w:rPr>
          <w:b/>
        </w:rPr>
      </w:pPr>
      <w:r w:rsidRPr="00DD1E5D">
        <w:rPr>
          <w:shd w:val="clear" w:color="auto" w:fill="FBFAF9"/>
        </w:rPr>
        <w:t xml:space="preserve">- Tiếp tục </w:t>
      </w:r>
      <w:r w:rsidR="00EB2BE1" w:rsidRPr="00DD1E5D">
        <w:rPr>
          <w:shd w:val="clear" w:color="auto" w:fill="FBFAF9"/>
        </w:rPr>
        <w:t xml:space="preserve">yêu cầu doanh nghiệp viễn thông </w:t>
      </w:r>
      <w:r w:rsidRPr="00DD1E5D">
        <w:rPr>
          <w:shd w:val="clear" w:color="auto" w:fill="FBFAF9"/>
        </w:rPr>
        <w:t xml:space="preserve">chuẩn hóa thông tin thuê bao di động theo Cơ sở dữ liệu quốc gia về dân cư. </w:t>
      </w:r>
      <w:r w:rsidRPr="00DD1E5D">
        <w:t xml:space="preserve">Việc chuẩn hóa thông tin là tạo ra sự thống nhất, nhất quán thông tin cá nhân, từ đó tạo ra môi trường dịch vụ thông tin di động văn minh, an toàn cho các hoạt động giao dịch có liên quan đến số điện thoại, </w:t>
      </w:r>
      <w:r w:rsidR="00EB2BE1" w:rsidRPr="00DD1E5D">
        <w:t xml:space="preserve">loại bỏ </w:t>
      </w:r>
      <w:r w:rsidRPr="00DD1E5D">
        <w:t>những hệ lụy từ những thông tin thuê bao không chính xác, không chính chủ</w:t>
      </w:r>
      <w:r w:rsidR="00EB2BE1" w:rsidRPr="00DD1E5D">
        <w:t>.</w:t>
      </w:r>
      <w:r w:rsidRPr="00DD1E5D">
        <w:rPr>
          <w:b/>
        </w:rPr>
        <w:t xml:space="preserve"> </w:t>
      </w:r>
    </w:p>
    <w:p w:rsidR="009B6EC6" w:rsidRPr="00DD1E5D" w:rsidRDefault="00B26078" w:rsidP="009B6EC6">
      <w:pPr>
        <w:pStyle w:val="NormalWeb"/>
        <w:shd w:val="clear" w:color="auto" w:fill="FFFFFF"/>
        <w:spacing w:before="0" w:beforeAutospacing="0"/>
        <w:jc w:val="both"/>
        <w:textAlignment w:val="baseline"/>
        <w:rPr>
          <w:sz w:val="28"/>
          <w:szCs w:val="28"/>
        </w:rPr>
      </w:pPr>
      <w:r w:rsidRPr="00DD1E5D">
        <w:rPr>
          <w:rFonts w:ascii="Arial" w:hAnsi="Arial" w:cs="Arial"/>
          <w:sz w:val="27"/>
          <w:szCs w:val="27"/>
        </w:rPr>
        <w:tab/>
      </w:r>
      <w:r w:rsidR="00EB1301" w:rsidRPr="00DD1E5D">
        <w:rPr>
          <w:rFonts w:ascii="Arial" w:hAnsi="Arial" w:cs="Arial"/>
          <w:sz w:val="27"/>
          <w:szCs w:val="27"/>
        </w:rPr>
        <w:t xml:space="preserve">- </w:t>
      </w:r>
      <w:r w:rsidR="0085715B" w:rsidRPr="00DD1E5D">
        <w:rPr>
          <w:rFonts w:ascii="Arial" w:hAnsi="Arial" w:cs="Arial"/>
          <w:sz w:val="27"/>
          <w:szCs w:val="27"/>
        </w:rPr>
        <w:t>T</w:t>
      </w:r>
      <w:r w:rsidRPr="00DD1E5D">
        <w:rPr>
          <w:sz w:val="28"/>
          <w:szCs w:val="28"/>
        </w:rPr>
        <w:t>iếp tục</w:t>
      </w:r>
      <w:r w:rsidR="008F02E4" w:rsidRPr="00DD1E5D">
        <w:rPr>
          <w:sz w:val="28"/>
          <w:szCs w:val="28"/>
        </w:rPr>
        <w:t xml:space="preserve"> tăng cường phối hợp với các cơ quan chức năng tổ chức tuyên truyền, phổ biến quy định của pháp luật về hoạt động bưu chính cho các doanh nghiệp cung ứng dịch vụ và người dân nhằm nâng cao tinh thần cảnh giác, không để các đối tượng xấu lợi dụng mạng bưu chính thực hiện các hành vi vi phạm pháp luật. </w:t>
      </w:r>
      <w:r w:rsidR="00584A70" w:rsidRPr="00DD1E5D">
        <w:rPr>
          <w:sz w:val="28"/>
          <w:szCs w:val="28"/>
        </w:rPr>
        <w:lastRenderedPageBreak/>
        <w:tab/>
        <w:t xml:space="preserve">- </w:t>
      </w:r>
      <w:r w:rsidR="008F02E4" w:rsidRPr="00DD1E5D">
        <w:rPr>
          <w:sz w:val="28"/>
          <w:szCs w:val="28"/>
        </w:rPr>
        <w:t>Hướng dẫn các doanh nghiệp bưu chính cách phát hiện, xử lý tình huống phát hiện các đối tượng lợi dụng mạng bưu chính để vận chuyển hàng phạm pháp. Chủ động phối hợp các lực lượng Công an, Quản lý thị trường thực hiện các giải pháp nâng cao hiệu quả công tác bảo đảm an toàn, an ninh trong hoạt động cung ứng và sử dụng dịch vụ bưu chính. Tăng cường công tác thanh tra, kiểm tra, xử lý các hành vi vi phạm quy định về bảo đảm an toàn, an ninh trong hoạt động bưu chính để kịp thời chỉ ra những sai phạm cần khắc phục, ngăn chặn</w:t>
      </w:r>
      <w:r w:rsidR="00EB1301" w:rsidRPr="00DD1E5D">
        <w:rPr>
          <w:sz w:val="28"/>
          <w:szCs w:val="28"/>
        </w:rPr>
        <w:t xml:space="preserve"> để bảo đảm an toàn, an ninh trong cung ứng dịch vụ bưu chính.</w:t>
      </w:r>
    </w:p>
    <w:p w:rsidR="00AC2736" w:rsidRPr="00DD1E5D" w:rsidRDefault="00057EFC" w:rsidP="009B6EC6">
      <w:pPr>
        <w:pStyle w:val="NormalWeb"/>
        <w:shd w:val="clear" w:color="auto" w:fill="FFFFFF"/>
        <w:spacing w:before="0" w:beforeAutospacing="0"/>
        <w:jc w:val="both"/>
        <w:textAlignment w:val="baseline"/>
        <w:rPr>
          <w:spacing w:val="-4"/>
          <w:sz w:val="28"/>
          <w:szCs w:val="28"/>
          <w:lang w:val="nl-NL"/>
        </w:rPr>
      </w:pPr>
      <w:r w:rsidRPr="00DD1E5D">
        <w:rPr>
          <w:sz w:val="28"/>
          <w:szCs w:val="28"/>
        </w:rPr>
        <w:tab/>
      </w:r>
      <w:r w:rsidR="00AC2736" w:rsidRPr="00DD1E5D">
        <w:rPr>
          <w:sz w:val="28"/>
          <w:szCs w:val="28"/>
          <w:lang w:val="nl-NL"/>
        </w:rPr>
        <w:t xml:space="preserve">- Thường xuyên rà quét thông tin trên mạng internet, mạng xã hội bằng công cụ, phần mềm để kịp thời phát hiện, ngăn chặn, xử lý thông tin xấu độc. Kiên trì trong việc xác minh thông tin và kiên quyết xử lý nghiêm minh theo quy định của pháp luật đối với các chủ các tài khoản, fanpage vi phạm. </w:t>
      </w:r>
      <w:r w:rsidR="00AC2736" w:rsidRPr="00DD1E5D">
        <w:rPr>
          <w:spacing w:val="-4"/>
          <w:sz w:val="28"/>
          <w:szCs w:val="28"/>
          <w:lang w:val="nl-NL"/>
        </w:rPr>
        <w:t>Tiếp tục phát huy hiệu quả của Tổ giám sát thông tin trên môi trường mạng.</w:t>
      </w:r>
      <w:r w:rsidR="009B6EC6" w:rsidRPr="00DD1E5D">
        <w:rPr>
          <w:spacing w:val="-4"/>
          <w:sz w:val="28"/>
          <w:szCs w:val="28"/>
          <w:lang w:val="nl-NL"/>
        </w:rPr>
        <w:t>/.</w:t>
      </w:r>
    </w:p>
    <w:p w:rsidR="00057EFC" w:rsidRPr="00DD1E5D" w:rsidRDefault="00057EFC" w:rsidP="008F02E4">
      <w:pPr>
        <w:pStyle w:val="NormalWeb"/>
        <w:shd w:val="clear" w:color="auto" w:fill="FFFFFF"/>
        <w:spacing w:before="0" w:beforeAutospacing="0"/>
        <w:jc w:val="both"/>
        <w:textAlignment w:val="baseline"/>
        <w:rPr>
          <w:sz w:val="28"/>
          <w:szCs w:val="28"/>
        </w:rPr>
      </w:pPr>
    </w:p>
    <w:sectPr w:rsidR="00057EFC" w:rsidRPr="00DD1E5D" w:rsidSect="00C1692E">
      <w:pgSz w:w="11907" w:h="16840" w:code="9"/>
      <w:pgMar w:top="851" w:right="1134"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042A"/>
    <w:multiLevelType w:val="multilevel"/>
    <w:tmpl w:val="D37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F6DE4"/>
    <w:multiLevelType w:val="multilevel"/>
    <w:tmpl w:val="1D7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15BB2"/>
    <w:multiLevelType w:val="multilevel"/>
    <w:tmpl w:val="1926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46"/>
    <w:rsid w:val="00005C7A"/>
    <w:rsid w:val="000311B0"/>
    <w:rsid w:val="00031446"/>
    <w:rsid w:val="00037371"/>
    <w:rsid w:val="00047C1D"/>
    <w:rsid w:val="00050333"/>
    <w:rsid w:val="00057EFC"/>
    <w:rsid w:val="000678AF"/>
    <w:rsid w:val="0009361D"/>
    <w:rsid w:val="00097356"/>
    <w:rsid w:val="00111A69"/>
    <w:rsid w:val="00111FC2"/>
    <w:rsid w:val="00120273"/>
    <w:rsid w:val="00121972"/>
    <w:rsid w:val="001564F5"/>
    <w:rsid w:val="0017180F"/>
    <w:rsid w:val="00186BF1"/>
    <w:rsid w:val="001A2C4E"/>
    <w:rsid w:val="001B22D8"/>
    <w:rsid w:val="001C3FC7"/>
    <w:rsid w:val="001D0B95"/>
    <w:rsid w:val="001E11A3"/>
    <w:rsid w:val="002058F4"/>
    <w:rsid w:val="0025652A"/>
    <w:rsid w:val="0025745E"/>
    <w:rsid w:val="00280E7B"/>
    <w:rsid w:val="00281FAE"/>
    <w:rsid w:val="002961E8"/>
    <w:rsid w:val="002A4387"/>
    <w:rsid w:val="002B49A2"/>
    <w:rsid w:val="003721D5"/>
    <w:rsid w:val="00391D49"/>
    <w:rsid w:val="00397215"/>
    <w:rsid w:val="003B666B"/>
    <w:rsid w:val="003C08F3"/>
    <w:rsid w:val="003D00C0"/>
    <w:rsid w:val="003D168A"/>
    <w:rsid w:val="003D1D3B"/>
    <w:rsid w:val="003E4E17"/>
    <w:rsid w:val="003E6610"/>
    <w:rsid w:val="003F01D3"/>
    <w:rsid w:val="004032E4"/>
    <w:rsid w:val="004058DC"/>
    <w:rsid w:val="00412230"/>
    <w:rsid w:val="004137E3"/>
    <w:rsid w:val="00414587"/>
    <w:rsid w:val="00414F7E"/>
    <w:rsid w:val="004167AB"/>
    <w:rsid w:val="00426208"/>
    <w:rsid w:val="00430F27"/>
    <w:rsid w:val="004460C1"/>
    <w:rsid w:val="00452828"/>
    <w:rsid w:val="004A114A"/>
    <w:rsid w:val="004D056A"/>
    <w:rsid w:val="004D4332"/>
    <w:rsid w:val="004D5EF6"/>
    <w:rsid w:val="004E7FAA"/>
    <w:rsid w:val="00502D95"/>
    <w:rsid w:val="00503FD1"/>
    <w:rsid w:val="00531889"/>
    <w:rsid w:val="00544F7E"/>
    <w:rsid w:val="0057785D"/>
    <w:rsid w:val="00584A70"/>
    <w:rsid w:val="005900A3"/>
    <w:rsid w:val="005A1F44"/>
    <w:rsid w:val="005B7F12"/>
    <w:rsid w:val="005D136C"/>
    <w:rsid w:val="005E387D"/>
    <w:rsid w:val="00605B35"/>
    <w:rsid w:val="00635746"/>
    <w:rsid w:val="00681213"/>
    <w:rsid w:val="006973B2"/>
    <w:rsid w:val="006A3B50"/>
    <w:rsid w:val="006E1983"/>
    <w:rsid w:val="006F7206"/>
    <w:rsid w:val="006F7ACA"/>
    <w:rsid w:val="00704DF2"/>
    <w:rsid w:val="007441CA"/>
    <w:rsid w:val="0074465E"/>
    <w:rsid w:val="00746E96"/>
    <w:rsid w:val="0074777C"/>
    <w:rsid w:val="00760AC0"/>
    <w:rsid w:val="00761856"/>
    <w:rsid w:val="00767FFB"/>
    <w:rsid w:val="00772C56"/>
    <w:rsid w:val="0077370C"/>
    <w:rsid w:val="007C3C0B"/>
    <w:rsid w:val="007E28E3"/>
    <w:rsid w:val="007E71C6"/>
    <w:rsid w:val="008168DF"/>
    <w:rsid w:val="0082280F"/>
    <w:rsid w:val="00833B5D"/>
    <w:rsid w:val="008364BC"/>
    <w:rsid w:val="00843C16"/>
    <w:rsid w:val="0085715B"/>
    <w:rsid w:val="00877265"/>
    <w:rsid w:val="00877CD5"/>
    <w:rsid w:val="008B3D8E"/>
    <w:rsid w:val="008C0846"/>
    <w:rsid w:val="008D2E6A"/>
    <w:rsid w:val="008D7140"/>
    <w:rsid w:val="008E0BDB"/>
    <w:rsid w:val="008E1EFD"/>
    <w:rsid w:val="008F02E4"/>
    <w:rsid w:val="00904AFE"/>
    <w:rsid w:val="0091448A"/>
    <w:rsid w:val="009201FD"/>
    <w:rsid w:val="00941B6F"/>
    <w:rsid w:val="009B6EC6"/>
    <w:rsid w:val="009E23B1"/>
    <w:rsid w:val="00A60069"/>
    <w:rsid w:val="00A66018"/>
    <w:rsid w:val="00A67851"/>
    <w:rsid w:val="00AC2736"/>
    <w:rsid w:val="00B200B5"/>
    <w:rsid w:val="00B26078"/>
    <w:rsid w:val="00B30318"/>
    <w:rsid w:val="00B3037B"/>
    <w:rsid w:val="00B3735A"/>
    <w:rsid w:val="00B40E81"/>
    <w:rsid w:val="00B40F82"/>
    <w:rsid w:val="00B90EF6"/>
    <w:rsid w:val="00BB2FD3"/>
    <w:rsid w:val="00BB3D5A"/>
    <w:rsid w:val="00BC0488"/>
    <w:rsid w:val="00C1692E"/>
    <w:rsid w:val="00C3791B"/>
    <w:rsid w:val="00C61723"/>
    <w:rsid w:val="00C75A49"/>
    <w:rsid w:val="00CA0E57"/>
    <w:rsid w:val="00CE016E"/>
    <w:rsid w:val="00CE0E58"/>
    <w:rsid w:val="00CE0F33"/>
    <w:rsid w:val="00CE365F"/>
    <w:rsid w:val="00D06901"/>
    <w:rsid w:val="00D341A7"/>
    <w:rsid w:val="00D429FE"/>
    <w:rsid w:val="00D4747A"/>
    <w:rsid w:val="00D47B46"/>
    <w:rsid w:val="00DB753E"/>
    <w:rsid w:val="00DD1E5D"/>
    <w:rsid w:val="00E10192"/>
    <w:rsid w:val="00EB1301"/>
    <w:rsid w:val="00EB2BE1"/>
    <w:rsid w:val="00EB6989"/>
    <w:rsid w:val="00EE561C"/>
    <w:rsid w:val="00EE5D68"/>
    <w:rsid w:val="00F11895"/>
    <w:rsid w:val="00F154AC"/>
    <w:rsid w:val="00F25CC6"/>
    <w:rsid w:val="00F64D9D"/>
    <w:rsid w:val="00F66034"/>
    <w:rsid w:val="00F67DC3"/>
    <w:rsid w:val="00F71EAA"/>
    <w:rsid w:val="00F831E2"/>
    <w:rsid w:val="00FB7840"/>
    <w:rsid w:val="00FD2AD6"/>
    <w:rsid w:val="00FE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404ED"/>
  <w15:chartTrackingRefBased/>
  <w15:docId w15:val="{60F94F3B-D962-4E92-A1C7-24C70542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746"/>
    <w:rPr>
      <w:sz w:val="28"/>
      <w:szCs w:val="28"/>
    </w:rPr>
  </w:style>
  <w:style w:type="paragraph" w:styleId="Heading2">
    <w:name w:val="heading 2"/>
    <w:basedOn w:val="Normal"/>
    <w:next w:val="Normal"/>
    <w:qFormat/>
    <w:pPr>
      <w:keepNext/>
      <w:spacing w:before="240" w:after="60"/>
      <w:outlineLvl w:val="1"/>
    </w:pPr>
    <w:rPr>
      <w:rFonts w:ascii="Arial" w:hAnsi="Arial" w:cs="Arial"/>
      <w:b/>
      <w:bCs/>
      <w:i/>
      <w:iCs/>
      <w:lang w:bidi="he-IL"/>
    </w:rPr>
  </w:style>
  <w:style w:type="paragraph" w:styleId="Heading3">
    <w:name w:val="heading 3"/>
    <w:basedOn w:val="Normal"/>
    <w:next w:val="Normal"/>
    <w:qFormat/>
    <w:pPr>
      <w:keepNext/>
      <w:spacing w:before="240" w:after="60"/>
      <w:outlineLvl w:val="2"/>
    </w:pPr>
    <w:rPr>
      <w:rFonts w:ascii="Arial" w:hAnsi="Arial" w:cs="Arial"/>
      <w:b/>
      <w:bCs/>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5746"/>
    <w:pPr>
      <w:spacing w:before="100" w:beforeAutospacing="1" w:after="100" w:afterAutospacing="1"/>
    </w:pPr>
    <w:rPr>
      <w:sz w:val="24"/>
      <w:szCs w:val="24"/>
    </w:rPr>
  </w:style>
  <w:style w:type="paragraph" w:styleId="ListParagraph">
    <w:name w:val="List Paragraph"/>
    <w:basedOn w:val="Normal"/>
    <w:uiPriority w:val="34"/>
    <w:qFormat/>
    <w:rsid w:val="00635746"/>
    <w:pPr>
      <w:spacing w:after="160" w:line="259" w:lineRule="auto"/>
      <w:ind w:left="720"/>
      <w:contextualSpacing/>
    </w:pPr>
    <w:rPr>
      <w:rFonts w:ascii="Calibri" w:eastAsia="Calibri" w:hAnsi="Calibri"/>
      <w:sz w:val="22"/>
      <w:szCs w:val="22"/>
    </w:rPr>
  </w:style>
  <w:style w:type="character" w:customStyle="1" w:styleId="BodyTextChar">
    <w:name w:val="Body Text Char"/>
    <w:link w:val="BodyText"/>
    <w:locked/>
    <w:rsid w:val="00635746"/>
    <w:rPr>
      <w:rFonts w:ascii=".VnTime" w:hAnsi=".VnTime"/>
      <w:sz w:val="28"/>
    </w:rPr>
  </w:style>
  <w:style w:type="paragraph" w:styleId="BodyText">
    <w:name w:val="Body Text"/>
    <w:basedOn w:val="Normal"/>
    <w:link w:val="BodyTextChar"/>
    <w:rsid w:val="00635746"/>
    <w:rPr>
      <w:rFonts w:ascii=".VnTime" w:hAnsi=".VnTime"/>
      <w:szCs w:val="20"/>
    </w:rPr>
  </w:style>
  <w:style w:type="character" w:customStyle="1" w:styleId="BodyTextChar1">
    <w:name w:val="Body Text Char1"/>
    <w:basedOn w:val="DefaultParagraphFont"/>
    <w:uiPriority w:val="99"/>
    <w:semiHidden/>
    <w:rsid w:val="00635746"/>
    <w:rPr>
      <w:sz w:val="28"/>
      <w:szCs w:val="28"/>
    </w:rPr>
  </w:style>
  <w:style w:type="table" w:styleId="TableGrid">
    <w:name w:val="Table Grid"/>
    <w:basedOn w:val="TableNormal"/>
    <w:uiPriority w:val="39"/>
    <w:rsid w:val="00877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97356"/>
    <w:pPr>
      <w:spacing w:after="120"/>
      <w:ind w:left="360"/>
    </w:pPr>
  </w:style>
  <w:style w:type="character" w:customStyle="1" w:styleId="BodyTextIndentChar">
    <w:name w:val="Body Text Indent Char"/>
    <w:basedOn w:val="DefaultParagraphFont"/>
    <w:link w:val="BodyTextIndent"/>
    <w:uiPriority w:val="99"/>
    <w:semiHidden/>
    <w:rsid w:val="0009735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4542">
      <w:bodyDiv w:val="1"/>
      <w:marLeft w:val="0"/>
      <w:marRight w:val="0"/>
      <w:marTop w:val="0"/>
      <w:marBottom w:val="0"/>
      <w:divBdr>
        <w:top w:val="none" w:sz="0" w:space="0" w:color="auto"/>
        <w:left w:val="none" w:sz="0" w:space="0" w:color="auto"/>
        <w:bottom w:val="none" w:sz="0" w:space="0" w:color="auto"/>
        <w:right w:val="none" w:sz="0" w:space="0" w:color="auto"/>
      </w:divBdr>
    </w:div>
    <w:div w:id="919171112">
      <w:bodyDiv w:val="1"/>
      <w:marLeft w:val="0"/>
      <w:marRight w:val="0"/>
      <w:marTop w:val="0"/>
      <w:marBottom w:val="0"/>
      <w:divBdr>
        <w:top w:val="none" w:sz="0" w:space="0" w:color="auto"/>
        <w:left w:val="none" w:sz="0" w:space="0" w:color="auto"/>
        <w:bottom w:val="none" w:sz="0" w:space="0" w:color="auto"/>
        <w:right w:val="none" w:sz="0" w:space="0" w:color="auto"/>
      </w:divBdr>
    </w:div>
    <w:div w:id="1036583155">
      <w:bodyDiv w:val="1"/>
      <w:marLeft w:val="0"/>
      <w:marRight w:val="0"/>
      <w:marTop w:val="0"/>
      <w:marBottom w:val="0"/>
      <w:divBdr>
        <w:top w:val="none" w:sz="0" w:space="0" w:color="auto"/>
        <w:left w:val="none" w:sz="0" w:space="0" w:color="auto"/>
        <w:bottom w:val="none" w:sz="0" w:space="0" w:color="auto"/>
        <w:right w:val="none" w:sz="0" w:space="0" w:color="auto"/>
      </w:divBdr>
    </w:div>
    <w:div w:id="1079399355">
      <w:bodyDiv w:val="1"/>
      <w:marLeft w:val="0"/>
      <w:marRight w:val="0"/>
      <w:marTop w:val="0"/>
      <w:marBottom w:val="0"/>
      <w:divBdr>
        <w:top w:val="none" w:sz="0" w:space="0" w:color="auto"/>
        <w:left w:val="none" w:sz="0" w:space="0" w:color="auto"/>
        <w:bottom w:val="none" w:sz="0" w:space="0" w:color="auto"/>
        <w:right w:val="none" w:sz="0" w:space="0" w:color="auto"/>
      </w:divBdr>
    </w:div>
    <w:div w:id="1397819806">
      <w:bodyDiv w:val="1"/>
      <w:marLeft w:val="0"/>
      <w:marRight w:val="0"/>
      <w:marTop w:val="0"/>
      <w:marBottom w:val="0"/>
      <w:divBdr>
        <w:top w:val="none" w:sz="0" w:space="0" w:color="auto"/>
        <w:left w:val="none" w:sz="0" w:space="0" w:color="auto"/>
        <w:bottom w:val="none" w:sz="0" w:space="0" w:color="auto"/>
        <w:right w:val="none" w:sz="0" w:space="0" w:color="auto"/>
      </w:divBdr>
    </w:div>
    <w:div w:id="1528178207">
      <w:bodyDiv w:val="1"/>
      <w:marLeft w:val="0"/>
      <w:marRight w:val="0"/>
      <w:marTop w:val="0"/>
      <w:marBottom w:val="0"/>
      <w:divBdr>
        <w:top w:val="none" w:sz="0" w:space="0" w:color="auto"/>
        <w:left w:val="none" w:sz="0" w:space="0" w:color="auto"/>
        <w:bottom w:val="none" w:sz="0" w:space="0" w:color="auto"/>
        <w:right w:val="none" w:sz="0" w:space="0" w:color="auto"/>
      </w:divBdr>
    </w:div>
    <w:div w:id="16833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TTNHON</dc:creator>
  <cp:keywords>Normal Template</cp:keywords>
  <dc:description/>
  <cp:lastModifiedBy>Nguyễn Thanh Hiền</cp:lastModifiedBy>
  <cp:revision>23</cp:revision>
  <dcterms:created xsi:type="dcterms:W3CDTF">2025-02-10T07:36:00Z</dcterms:created>
  <dcterms:modified xsi:type="dcterms:W3CDTF">2025-02-10T08:58:00Z</dcterms:modified>
</cp:coreProperties>
</file>