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00" w:type="dxa"/>
        <w:tblCellMar>
          <w:left w:w="10" w:type="dxa"/>
          <w:right w:w="10" w:type="dxa"/>
        </w:tblCellMar>
        <w:tblLook w:val="04A0" w:firstRow="1" w:lastRow="0" w:firstColumn="1" w:lastColumn="0" w:noHBand="0" w:noVBand="1"/>
      </w:tblPr>
      <w:tblGrid>
        <w:gridCol w:w="3823"/>
        <w:gridCol w:w="5577"/>
      </w:tblGrid>
      <w:tr w:rsidR="00DC40F5" w:rsidRPr="00701E84" w14:paraId="3705DD28" w14:textId="77777777" w:rsidTr="00FB2C0F">
        <w:tc>
          <w:tcPr>
            <w:tcW w:w="3823" w:type="dxa"/>
            <w:tcMar>
              <w:top w:w="60" w:type="dxa"/>
              <w:left w:w="60" w:type="dxa"/>
              <w:bottom w:w="60" w:type="dxa"/>
              <w:right w:w="60" w:type="dxa"/>
            </w:tcMar>
          </w:tcPr>
          <w:p w14:paraId="025C1278" w14:textId="77777777" w:rsidR="00DC40F5" w:rsidRPr="00FB2C0F" w:rsidRDefault="00000000">
            <w:pPr>
              <w:spacing w:after="20"/>
              <w:jc w:val="center"/>
              <w:rPr>
                <w:sz w:val="26"/>
                <w:szCs w:val="26"/>
              </w:rPr>
            </w:pPr>
            <w:r w:rsidRPr="00FB2C0F">
              <w:rPr>
                <w:b/>
                <w:bCs/>
                <w:sz w:val="26"/>
                <w:szCs w:val="26"/>
              </w:rPr>
              <w:t>ỦY BAN NHÂN DÂN</w:t>
            </w:r>
          </w:p>
          <w:p w14:paraId="4236B692" w14:textId="3E410180" w:rsidR="00DC40F5" w:rsidRPr="00FB2C0F" w:rsidRDefault="004B008C" w:rsidP="00FB2C0F">
            <w:pPr>
              <w:spacing w:after="20"/>
              <w:jc w:val="center"/>
              <w:rPr>
                <w:lang w:val="vi-VN"/>
              </w:rPr>
            </w:pPr>
            <w:r>
              <w:rPr>
                <w:b/>
                <w:bCs/>
                <w:noProof/>
                <w:sz w:val="26"/>
                <w:szCs w:val="26"/>
              </w:rPr>
              <mc:AlternateContent>
                <mc:Choice Requires="wps">
                  <w:drawing>
                    <wp:anchor distT="0" distB="0" distL="114300" distR="114300" simplePos="0" relativeHeight="251659264" behindDoc="0" locked="0" layoutInCell="1" allowOverlap="1" wp14:anchorId="5EE36E8E" wp14:editId="60951E8C">
                      <wp:simplePos x="0" y="0"/>
                      <wp:positionH relativeFrom="column">
                        <wp:posOffset>758190</wp:posOffset>
                      </wp:positionH>
                      <wp:positionV relativeFrom="paragraph">
                        <wp:posOffset>201295</wp:posOffset>
                      </wp:positionV>
                      <wp:extent cx="8382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38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BFA07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7pt,15.85pt" to="125.7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" strokecolor="black [3200]" strokeweight=".5pt">
                      <v:stroke joinstyle="miter"/>
                    </v:line>
                  </w:pict>
                </mc:Fallback>
              </mc:AlternateContent>
            </w:r>
            <w:r w:rsidRPr="00FB2C0F">
              <w:rPr>
                <w:b/>
                <w:bCs/>
                <w:sz w:val="26"/>
                <w:szCs w:val="26"/>
              </w:rPr>
              <w:t>TỈNH AN GIANG</w:t>
            </w:r>
          </w:p>
        </w:tc>
        <w:tc>
          <w:tcPr>
            <w:tcW w:w="5577" w:type="dxa"/>
            <w:tcMar>
              <w:top w:w="60" w:type="dxa"/>
              <w:left w:w="60" w:type="dxa"/>
              <w:bottom w:w="60" w:type="dxa"/>
              <w:right w:w="60" w:type="dxa"/>
            </w:tcMar>
          </w:tcPr>
          <w:p w14:paraId="4806D7D4" w14:textId="77777777" w:rsidR="00DC40F5" w:rsidRPr="007507D7" w:rsidRDefault="00000000">
            <w:pPr>
              <w:spacing w:after="20"/>
              <w:jc w:val="center"/>
              <w:rPr>
                <w:sz w:val="26"/>
                <w:szCs w:val="26"/>
                <w:lang w:val="vi-VN"/>
              </w:rPr>
            </w:pPr>
            <w:r w:rsidRPr="007507D7">
              <w:rPr>
                <w:b/>
                <w:bCs/>
                <w:sz w:val="26"/>
                <w:szCs w:val="26"/>
                <w:lang w:val="vi-VN"/>
              </w:rPr>
              <w:t>CỘNG HÒA XÃ HỘI CHỦ NGHĨA VIỆT NAM</w:t>
            </w:r>
          </w:p>
          <w:p w14:paraId="1E582811" w14:textId="2BA64290" w:rsidR="00DC40F5" w:rsidRPr="00FB2C0F" w:rsidRDefault="004B008C" w:rsidP="00FB2C0F">
            <w:pPr>
              <w:spacing w:after="20"/>
              <w:jc w:val="center"/>
              <w:rPr>
                <w:b/>
                <w:bCs/>
                <w:sz w:val="28"/>
                <w:szCs w:val="28"/>
                <w:lang w:val="vi-VN"/>
              </w:rPr>
            </w:pPr>
            <w:r>
              <w:rPr>
                <w:b/>
                <w:bCs/>
                <w:noProof/>
                <w:sz w:val="28"/>
                <w:szCs w:val="28"/>
              </w:rPr>
              <mc:AlternateContent>
                <mc:Choice Requires="wps">
                  <w:drawing>
                    <wp:anchor distT="0" distB="0" distL="114300" distR="114300" simplePos="0" relativeHeight="251660288" behindDoc="0" locked="0" layoutInCell="1" allowOverlap="1" wp14:anchorId="245457AB" wp14:editId="6A3F2B80">
                      <wp:simplePos x="0" y="0"/>
                      <wp:positionH relativeFrom="column">
                        <wp:posOffset>664210</wp:posOffset>
                      </wp:positionH>
                      <wp:positionV relativeFrom="paragraph">
                        <wp:posOffset>220345</wp:posOffset>
                      </wp:positionV>
                      <wp:extent cx="21145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762CA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3pt,17.35pt" to="218.8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" strokecolor="black [3200]" strokeweight=".5pt">
                      <v:stroke joinstyle="miter"/>
                    </v:line>
                  </w:pict>
                </mc:Fallback>
              </mc:AlternateContent>
            </w:r>
            <w:r w:rsidRPr="007507D7">
              <w:rPr>
                <w:b/>
                <w:bCs/>
                <w:sz w:val="28"/>
                <w:szCs w:val="28"/>
                <w:lang w:val="vi-VN"/>
              </w:rPr>
              <w:t>Độc lập - Tự do - Hạnh phúc</w:t>
            </w:r>
          </w:p>
        </w:tc>
      </w:tr>
      <w:tr w:rsidR="00FB2C0F" w14:paraId="3E67CAB3" w14:textId="77777777" w:rsidTr="00FB2C0F">
        <w:tc>
          <w:tcPr>
            <w:tcW w:w="3823" w:type="dxa"/>
            <w:tcMar>
              <w:top w:w="60" w:type="dxa"/>
              <w:left w:w="60" w:type="dxa"/>
              <w:bottom w:w="60" w:type="dxa"/>
              <w:right w:w="60" w:type="dxa"/>
            </w:tcMar>
          </w:tcPr>
          <w:p w14:paraId="3AA0F886" w14:textId="068EC29E" w:rsidR="00FB2C0F" w:rsidRPr="00FB2C0F" w:rsidRDefault="00FB2C0F" w:rsidP="00FB2C0F">
            <w:pPr>
              <w:spacing w:before="120"/>
              <w:jc w:val="center"/>
              <w:rPr>
                <w:b/>
                <w:bCs/>
                <w:sz w:val="28"/>
                <w:szCs w:val="28"/>
              </w:rPr>
            </w:pPr>
            <w:r w:rsidRPr="00FB2C0F">
              <w:rPr>
                <w:sz w:val="28"/>
                <w:szCs w:val="28"/>
              </w:rPr>
              <w:t>Số: ……/TTr-UBND</w:t>
            </w:r>
          </w:p>
        </w:tc>
        <w:tc>
          <w:tcPr>
            <w:tcW w:w="5577" w:type="dxa"/>
            <w:tcMar>
              <w:top w:w="60" w:type="dxa"/>
              <w:left w:w="60" w:type="dxa"/>
              <w:bottom w:w="60" w:type="dxa"/>
              <w:right w:w="60" w:type="dxa"/>
            </w:tcMar>
          </w:tcPr>
          <w:p w14:paraId="4C6AF5E2" w14:textId="239AA6C4" w:rsidR="00FB2C0F" w:rsidRPr="00FB2C0F" w:rsidRDefault="00FB2C0F" w:rsidP="00FB2C0F">
            <w:pPr>
              <w:spacing w:before="120"/>
              <w:jc w:val="center"/>
              <w:rPr>
                <w:b/>
                <w:bCs/>
                <w:i/>
                <w:iCs/>
                <w:sz w:val="28"/>
                <w:szCs w:val="28"/>
              </w:rPr>
            </w:pPr>
            <w:r w:rsidRPr="00FB2C0F">
              <w:rPr>
                <w:i/>
                <w:iCs/>
                <w:sz w:val="28"/>
                <w:szCs w:val="28"/>
              </w:rPr>
              <w:t>An Giang, ngày      tháng      năm 2026</w:t>
            </w:r>
          </w:p>
        </w:tc>
      </w:tr>
    </w:tbl>
    <w:p w14:paraId="77021E38" w14:textId="4B6D9066" w:rsidR="00DC40F5" w:rsidRDefault="00701E84">
      <w:pPr>
        <w:spacing w:after="200"/>
      </w:pPr>
      <w:r>
        <w:rPr>
          <w:noProof/>
        </w:rPr>
        <mc:AlternateContent>
          <mc:Choice Requires="wps">
            <w:drawing>
              <wp:anchor distT="0" distB="0" distL="114300" distR="114300" simplePos="0" relativeHeight="251661312" behindDoc="0" locked="0" layoutInCell="1" allowOverlap="1" wp14:anchorId="45496BED" wp14:editId="33735F7D">
                <wp:simplePos x="0" y="0"/>
                <wp:positionH relativeFrom="column">
                  <wp:posOffset>339090</wp:posOffset>
                </wp:positionH>
                <wp:positionV relativeFrom="paragraph">
                  <wp:posOffset>122555</wp:posOffset>
                </wp:positionV>
                <wp:extent cx="1247775" cy="3333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24777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65060825" w14:textId="3DB4ACF4" w:rsidR="00701E84" w:rsidRDefault="00701E84" w:rsidP="00701E84">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496BED" id="Rectangle 3" o:spid="_x0000_s1026" style="position:absolute;margin-left:26.7pt;margin-top:9.65pt;width:98.25pt;height:26.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" fillcolor="white [3201]" strokecolor="black [3200]" strokeweight="1pt">
                <v:textbox>
                  <w:txbxContent>
                    <w:p w14:paraId="65060825" w14:textId="3DB4ACF4" w:rsidR="00701E84" w:rsidRDefault="00701E84" w:rsidP="00701E84">
                      <w:pPr>
                        <w:jc w:val="center"/>
                      </w:pPr>
                      <w:r>
                        <w:t>DỰ THẢO</w:t>
                      </w:r>
                    </w:p>
                  </w:txbxContent>
                </v:textbox>
              </v:rect>
            </w:pict>
          </mc:Fallback>
        </mc:AlternateContent>
      </w:r>
    </w:p>
    <w:p w14:paraId="274E509E" w14:textId="77777777" w:rsidR="00DC40F5" w:rsidRDefault="00000000">
      <w:pPr>
        <w:spacing w:before="200" w:after="40"/>
        <w:jc w:val="center"/>
      </w:pPr>
      <w:r>
        <w:rPr>
          <w:b/>
          <w:bCs/>
          <w:sz w:val="28"/>
          <w:szCs w:val="28"/>
        </w:rPr>
        <w:t>TỜ TRÌNH</w:t>
      </w:r>
    </w:p>
    <w:p w14:paraId="0277840F" w14:textId="77777777" w:rsidR="00DC40F5" w:rsidRDefault="00000000">
      <w:pPr>
        <w:spacing w:after="40"/>
        <w:jc w:val="center"/>
      </w:pPr>
      <w:r>
        <w:rPr>
          <w:b/>
          <w:bCs/>
          <w:sz w:val="28"/>
          <w:szCs w:val="28"/>
        </w:rPr>
        <w:t>Dự thảo Nghị quyết quy định chính sách hỗ trợ ứng dụng, chuyển giao</w:t>
      </w:r>
    </w:p>
    <w:p w14:paraId="3E11F1F1" w14:textId="77777777" w:rsidR="00DC40F5" w:rsidRDefault="00000000">
      <w:pPr>
        <w:spacing w:after="200"/>
        <w:jc w:val="center"/>
      </w:pPr>
      <w:r>
        <w:rPr>
          <w:b/>
          <w:bCs/>
          <w:sz w:val="28"/>
          <w:szCs w:val="28"/>
        </w:rPr>
        <w:t>và đổi mới công nghệ trên địa bàn tỉnh An Giang giai đoạn 2026 - 2030</w:t>
      </w:r>
    </w:p>
    <w:p w14:paraId="7E84DDEF" w14:textId="77777777" w:rsidR="00FB2C0F" w:rsidRDefault="00FB2C0F">
      <w:pPr>
        <w:spacing w:after="120" w:line="300" w:lineRule="auto"/>
        <w:jc w:val="both"/>
        <w:rPr>
          <w:lang w:val="vi-VN"/>
        </w:rPr>
      </w:pPr>
    </w:p>
    <w:p w14:paraId="517B70C3" w14:textId="7E0770F2" w:rsidR="00DC40F5" w:rsidRPr="007507D7" w:rsidRDefault="00000000" w:rsidP="00FB2C0F">
      <w:pPr>
        <w:spacing w:after="120" w:line="300" w:lineRule="auto"/>
        <w:jc w:val="center"/>
        <w:rPr>
          <w:sz w:val="28"/>
          <w:szCs w:val="28"/>
          <w:lang w:val="vi-VN"/>
        </w:rPr>
      </w:pPr>
      <w:r w:rsidRPr="007507D7">
        <w:rPr>
          <w:sz w:val="28"/>
          <w:szCs w:val="28"/>
          <w:lang w:val="vi-VN"/>
        </w:rPr>
        <w:t>Kính gửi: Hội đồng nhân dân tỉnh An Giang</w:t>
      </w:r>
    </w:p>
    <w:p w14:paraId="0B6CCEBE" w14:textId="77777777" w:rsidR="00FB2C0F" w:rsidRDefault="00FB2C0F">
      <w:pPr>
        <w:spacing w:after="120" w:line="300" w:lineRule="auto"/>
        <w:jc w:val="both"/>
        <w:rPr>
          <w:lang w:val="vi-VN"/>
        </w:rPr>
      </w:pPr>
    </w:p>
    <w:p w14:paraId="6CF08AA1"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Thực hiện Luật Ban hành văn bản quy phạm pháp luật số 64/2025/QH15 được sửa đổi, bổ sung bởi Luật số 87/2025/QH15; trên cơ sở Thông báo số 94/TB-TT ngày 29/6/2026 của Thường trực Hội đồng nhân dân tỉnh về ý kiến xây dựng Nghị quyết quy định chính sách hỗ trợ ứng dụng, chuyển giao và đổi mới công nghệ trên địa bàn tỉnh An Giang giai đoạn 2026 - 2030, Ủy ban nhân dân tỉnh kính trình Hội đồng nhân dân tỉnh An Giang xem xét, thông qua dự thảo Nghị quyết như sau:</w:t>
      </w:r>
    </w:p>
    <w:p w14:paraId="6303434A" w14:textId="77777777" w:rsidR="007507D7" w:rsidRPr="007507D7" w:rsidRDefault="007507D7" w:rsidP="007507D7">
      <w:pPr>
        <w:spacing w:before="120" w:after="120"/>
        <w:ind w:firstLine="709"/>
        <w:jc w:val="both"/>
        <w:rPr>
          <w:b/>
          <w:bCs/>
          <w:sz w:val="28"/>
          <w:szCs w:val="28"/>
          <w:lang w:val="vi-VN"/>
        </w:rPr>
      </w:pPr>
      <w:r w:rsidRPr="007507D7">
        <w:rPr>
          <w:b/>
          <w:bCs/>
          <w:sz w:val="28"/>
          <w:szCs w:val="28"/>
          <w:lang w:val="vi-VN"/>
        </w:rPr>
        <w:t>I. SỰ CẦN THIẾT BAN HÀNH VĂN BẢN</w:t>
      </w:r>
    </w:p>
    <w:p w14:paraId="0F395104" w14:textId="77777777" w:rsidR="007507D7" w:rsidRPr="007507D7" w:rsidRDefault="007507D7" w:rsidP="007507D7">
      <w:pPr>
        <w:spacing w:before="120" w:after="120"/>
        <w:ind w:firstLine="709"/>
        <w:jc w:val="both"/>
        <w:rPr>
          <w:b/>
          <w:bCs/>
          <w:sz w:val="28"/>
          <w:szCs w:val="28"/>
          <w:lang w:val="vi-VN"/>
        </w:rPr>
      </w:pPr>
      <w:r w:rsidRPr="007507D7">
        <w:rPr>
          <w:b/>
          <w:bCs/>
          <w:sz w:val="28"/>
          <w:szCs w:val="28"/>
          <w:lang w:val="vi-VN"/>
        </w:rPr>
        <w:t>1. Cơ sở chính trị, pháp lý</w:t>
      </w:r>
    </w:p>
    <w:p w14:paraId="24E5C5D8"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a) Cơ sở chính trị</w:t>
      </w:r>
    </w:p>
    <w:p w14:paraId="1DE3BC93"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Nghị quyết số 57-NQ/TW ngày 22/12/2024 của Bộ Chính trị về đột phá phát triển khoa học, công nghệ, đổi mới sáng tạo và chuyển đổi số quốc gia xác định đây là động lực chính của tăng trưởng; yêu cầu các địa phương xây dựng cơ chế, chính sách hỗ trợ doanh nghiệp ứng dụng, chuyển giao và đổi mới công nghệ, ưu tiên công nghệ chiến lược.</w:t>
      </w:r>
    </w:p>
    <w:p w14:paraId="44C6035B"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Chương trình hành động số 16-CTr/TU ngày 05/3/2026 của Ban Chấp hành Đảng bộ tỉnh An Giang xác định phát triển khoa học, công nghệ và đổi mới sáng tạo là khâu đột phá chiến lược; giao cơ quan chuyên môn tham mưu ban hành cơ chế, chính sách hỗ trợ ứng dụng và chuyển giao công nghệ phù hợp điều kiện tỉnh.</w:t>
      </w:r>
    </w:p>
    <w:p w14:paraId="7B7B9D7C"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b) Cơ sở pháp lý</w:t>
      </w:r>
    </w:p>
    <w:p w14:paraId="50559FAC"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Theo điểm b khoản 1 Điều 15 Luật Tổ chức chính quyền địa phương số 72/2025/QH15, Hội đồng nhân dân tỉnh có thẩm quyền quyết định chính sách, cơ chế phát triển kinh tế - xã hội, trong đó có đột phá phát triển khoa học, công nghệ, đổi mới sáng tạo và chuyển đổi số của địa phương; theo điểm c khoản 1 Điều 21 Luật Ban hành văn bản quy phạm pháp luật số 64/2025/QH15, Hội đồng nhân dân cấp tỉnh ban hành nghị quyết để quy định biện pháp đặc thù phát triển kinh tế - xã hội phù hợp điều kiện của địa phương.</w:t>
      </w:r>
    </w:p>
    <w:p w14:paraId="7FDB6C9C" w14:textId="77777777" w:rsidR="007507D7" w:rsidRPr="007507D7" w:rsidRDefault="007507D7" w:rsidP="007507D7">
      <w:pPr>
        <w:spacing w:before="120" w:after="120"/>
        <w:ind w:firstLine="709"/>
        <w:jc w:val="both"/>
        <w:rPr>
          <w:sz w:val="28"/>
          <w:szCs w:val="28"/>
          <w:lang w:val="vi-VN"/>
        </w:rPr>
      </w:pPr>
      <w:r w:rsidRPr="007507D7">
        <w:rPr>
          <w:sz w:val="28"/>
          <w:szCs w:val="28"/>
          <w:lang w:val="vi-VN"/>
        </w:rPr>
        <w:lastRenderedPageBreak/>
        <w:t>Đây là cơ sở pháp lý và thẩm quyền để Hội đồng nhân dân tỉnh An Giang ban hành Nghị quyết quy định chính sách hỗ trợ ứng dụng, chuyển giao và đổi mới công nghệ trên địa bàn tỉnh (nội dung đối chiếu chi tiết từng Điều của Quy định với văn bản pháp luật chuyên ngành có liên quan - Luật Khoa học, Công nghệ và Đổi mới sáng tạo số 93/2025/QH15, Luật Chuyển giao công nghệ, Luật Công nghệ cao và các Nghị định, Quyết định hướng dẫn thi hành - được trình bày tại Bản so sánh, thuyết minh dự thảo kèm theo Tờ trình).</w:t>
      </w:r>
    </w:p>
    <w:p w14:paraId="1FE2A8CA" w14:textId="77777777" w:rsidR="007507D7" w:rsidRPr="007507D7" w:rsidRDefault="007507D7" w:rsidP="007507D7">
      <w:pPr>
        <w:spacing w:before="120" w:after="120"/>
        <w:ind w:firstLine="709"/>
        <w:jc w:val="both"/>
        <w:rPr>
          <w:b/>
          <w:bCs/>
          <w:sz w:val="28"/>
          <w:szCs w:val="28"/>
          <w:lang w:val="vi-VN"/>
        </w:rPr>
      </w:pPr>
      <w:r w:rsidRPr="007507D7">
        <w:rPr>
          <w:b/>
          <w:bCs/>
          <w:sz w:val="28"/>
          <w:szCs w:val="28"/>
          <w:lang w:val="vi-VN"/>
        </w:rPr>
        <w:t>2. Cơ sở thực tiễn</w:t>
      </w:r>
    </w:p>
    <w:p w14:paraId="55721AA2"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Tỉnh An Giang đã triển khai hỗ trợ ứng dụng, chuyển giao và đổi mới công nghệ giai đoạn 2019 - 2025 theo chính sách của Ủy ban nhân dân tỉnh ban hành trong giai đoạn trước, với kết quả tích cực: 20 dự án được triển khai, tổng kinh phí khoảng 64,27 tỷ đồng (kinh phí ngân sách nhà nước 9,29 tỷ đồng, chiếm 14,45%); nhiều mô hình đạt kết quả rõ rệt trong lĩnh vực nông nghiệp, thủy sản, chế biến nông sản và năng lượng tái tạo (theo Báo cáo số 429/BC-SKHCN ngày 21/01/2026).</w:t>
      </w:r>
    </w:p>
    <w:p w14:paraId="15749D1C"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Tuy nhiên, chính sách hỗ trợ giai đoạn trước được ban hành dưới hình thức Quyết định của Ủy ban nhân dân tỉnh, không còn phù hợp thẩm quyền ban hành chính sách hỗ trợ theo quy định của Luật Ban hành văn bản quy phạm pháp luật hiện hành (nội dung chính sách hỗ trợ nêu trên nay thuộc thẩm quyền quyết định của Hội đồng nhân dân tỉnh theo điểm c khoản 1 Điều 21 Luật số 64/2025/QH15 và điểm b khoản 1 Điều 15 Luật Tổ chức chính quyền địa phương số 72/2025/QH15); đồng thời toàn bộ hệ thống pháp luật về khoa học, công nghệ đã được đổi mới căn bản với Luật số 93/2025/QH15, Luật Chuyển giao công nghệ sửa đổi năm 2025 và các Nghị định hướng dẫn ban hành năm 2025 - 2026. Trong bối cảnh đó, nhu cầu ứng dụng công nghệ chiến lược (trí tuệ nhân tạo, Internet vạn vật, bán dẫn, tự động hóa), chuyển đổi số và phát triển kinh tế xanh ngày càng cấp thiết.</w:t>
      </w:r>
    </w:p>
    <w:p w14:paraId="35BBEFFF"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Trên cơ sở đó, cụ thể hóa chủ trương của Đảng bộ tỉnh, Ủy ban nhân dân tỉnh đã ban hành Chương trình số 207/CTr-UBND ngày 16/4/2026 về hỗ trợ ứng dụng, chuyển giao và đổi mới công nghệ trên địa bàn tỉnh giai đoạn 2026 - 2030, định hướng đến năm 2035, xác định mục tiêu, định hướng nguồn lực triển khai, làm cơ sở thực tiễn trực tiếp để xây dựng dự thảo Nghị quyết này. Ngày 18/7/2026, Ủy ban nhân dân tỉnh đã ban hành Quyết định số 70/2026/QĐ-UBND bãi bỏ toàn bộ Quyết định số 71/2019/QĐ-UBND và Quyết định số 16/2023/QĐ-UBND, có hiệu lực thi hành từ ngày 28/7/2026. Như vậy, kể từ ngày 28/7/2026, trên địa bàn tỉnh An Giang hiện không còn văn bản nào đang có hiệu lực quy định chính sách hỗ trợ ứng dụng, chuyển giao, đổi mới công nghệ, trong khi dự thảo Nghị quyết thay thế vẫn đang trong giai đoạn lấy ý kiến, thẩm định. Việc Hội đồng nhân dân tỉnh sớm xem xét, ban hành Nghị quyết quy định chính sách hỗ trợ mới, đúng thẩm quyền, là yêu cầu pháp lý bắt buộc và hết sức cấp thiết, nhằm rút ngắn tối đa khoảng thời gian tỉnh không có chính sách hỗ trợ đang hiệu lực.</w:t>
      </w:r>
    </w:p>
    <w:p w14:paraId="4813D9C5" w14:textId="77777777" w:rsidR="0036489E" w:rsidRPr="00701E84" w:rsidRDefault="0036489E" w:rsidP="007507D7">
      <w:pPr>
        <w:spacing w:before="120" w:after="120"/>
        <w:ind w:firstLine="709"/>
        <w:jc w:val="both"/>
        <w:rPr>
          <w:b/>
          <w:bCs/>
          <w:sz w:val="28"/>
          <w:szCs w:val="28"/>
          <w:lang w:val="vi-VN"/>
        </w:rPr>
      </w:pPr>
    </w:p>
    <w:p w14:paraId="05F2E5A7" w14:textId="3CD164C6" w:rsidR="007507D7" w:rsidRPr="007507D7" w:rsidRDefault="007507D7" w:rsidP="007507D7">
      <w:pPr>
        <w:spacing w:before="120" w:after="120"/>
        <w:ind w:firstLine="709"/>
        <w:jc w:val="both"/>
        <w:rPr>
          <w:b/>
          <w:bCs/>
          <w:sz w:val="28"/>
          <w:szCs w:val="28"/>
          <w:lang w:val="vi-VN"/>
        </w:rPr>
      </w:pPr>
      <w:r w:rsidRPr="007507D7">
        <w:rPr>
          <w:b/>
          <w:bCs/>
          <w:sz w:val="28"/>
          <w:szCs w:val="28"/>
          <w:lang w:val="vi-VN"/>
        </w:rPr>
        <w:lastRenderedPageBreak/>
        <w:t>II. MỤC ĐÍCH BAN HÀNH, QUAN ĐIỂM XÂY DỰNG DỰ THẢO NGHỊ QUYẾT</w:t>
      </w:r>
    </w:p>
    <w:p w14:paraId="5260ED3E" w14:textId="77777777" w:rsidR="007507D7" w:rsidRPr="007507D7" w:rsidRDefault="007507D7" w:rsidP="007507D7">
      <w:pPr>
        <w:spacing w:before="120" w:after="120"/>
        <w:ind w:firstLine="709"/>
        <w:jc w:val="both"/>
        <w:rPr>
          <w:sz w:val="28"/>
          <w:szCs w:val="28"/>
          <w:lang w:val="vi-VN"/>
        </w:rPr>
      </w:pPr>
      <w:r w:rsidRPr="007507D7">
        <w:rPr>
          <w:b/>
          <w:bCs/>
          <w:sz w:val="28"/>
          <w:szCs w:val="28"/>
          <w:lang w:val="vi-VN"/>
        </w:rPr>
        <w:t>1. Mục đích ban hành</w:t>
      </w:r>
    </w:p>
    <w:p w14:paraId="6B7A387D" w14:textId="4D2E2248" w:rsidR="007507D7" w:rsidRPr="007507D7" w:rsidRDefault="007B2242" w:rsidP="007507D7">
      <w:pPr>
        <w:spacing w:before="120" w:after="120"/>
        <w:ind w:firstLine="709"/>
        <w:jc w:val="both"/>
        <w:rPr>
          <w:sz w:val="28"/>
          <w:szCs w:val="28"/>
          <w:lang w:val="vi-VN"/>
        </w:rPr>
      </w:pPr>
      <w:r w:rsidRPr="007B2242">
        <w:rPr>
          <w:sz w:val="28"/>
          <w:szCs w:val="28"/>
          <w:lang w:val="vi-VN"/>
        </w:rPr>
        <w:t>Ban hành chính sách hỗ trợ ứng dụng, chuyển giao và đổi mới công nghệ trên địa bàn tỉnh An Giang giai đoạn 2026 - 2030 đúng thẩm quyền, phù hợp hệ thống pháp luật mới; Hội đồng nhân dân tỉnh quyết định chính sách và bố trí nguồn lực để triển khai thành cơ chế, chính sách hỗ trợ tài chính cụ thể, có tính khả thi trong thực tiễn, đúng thẩm quyền quyết định chính sách, ngân sách của Hội đồng nhân dân theo Điều 21 Luật số 64/2025/QH15. Đồng thời, hoàn thiện cơ chế, chính sách hỗ trợ khoa học, công nghệ và đổi mới sáng tạo của tỉnh theo hướng đồng bộ, thống nhất với hệ thống pháp luật hiện hành (Luật số 93/2025/QH15, Luật Chuyển giao công nghệ được sửa đổi, bổ sung, Luật Công nghệ cao), khắc phục những hạn chế, bất cập của chính sách giai đoạn 2019 - 2025 đã được chỉ ra tại Báo cáo tổng kết thi hành chính sách kèm theo (mức hỗ trợ thấp, chưa có nội dung hỗ trợ phát triển thị trường khoa học và công nghệ, chưa có cơ chế ưu tiên riêng cho công nghệ chiến lược). Qua đó, thúc đẩy doanh nghiệp, hợp tác xã ứng dụng công nghệ tiên tiến, công nghệ chiến lược vào sản xuất, kinh doanh; nâng cao năng suất, chất lượng và năng lực cạnh tranh, đóng góp vào mục tiêu phát triển kinh tế - xã hội bền vững của tỉnh giai đoạn 2026 - 2030.</w:t>
      </w:r>
    </w:p>
    <w:p w14:paraId="4AD612DD" w14:textId="77777777" w:rsidR="007507D7" w:rsidRPr="007507D7" w:rsidRDefault="007507D7" w:rsidP="007507D7">
      <w:pPr>
        <w:spacing w:before="120" w:after="120"/>
        <w:ind w:firstLine="709"/>
        <w:jc w:val="both"/>
        <w:rPr>
          <w:b/>
          <w:bCs/>
          <w:sz w:val="28"/>
          <w:szCs w:val="28"/>
          <w:lang w:val="vi-VN"/>
        </w:rPr>
      </w:pPr>
      <w:r w:rsidRPr="007507D7">
        <w:rPr>
          <w:b/>
          <w:bCs/>
          <w:sz w:val="28"/>
          <w:szCs w:val="28"/>
          <w:lang w:val="vi-VN"/>
        </w:rPr>
        <w:t>2. Quan điểm xây dựng dự thảo</w:t>
      </w:r>
    </w:p>
    <w:p w14:paraId="119E8114"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 xml:space="preserve">Hỗ trợ có trọng tâm, trọng điểm, tránh dàn trải; doanh nghiệp là chủ thể trung tâm của hệ thống đổi mới sáng tạo theo Điều 34 Luật số 93/2025/QH15, hợp tác xã và tổ chức khoa học và công nghệ là chủ thể tích cực tham gia; bảo đảm đúng thẩm quyền, công khai, minh bạch; ưu tiên công nghệ chiến lược, sản phẩm công nghệ chiến lược theo Danh mục do Thủ tướng Chính phủ ban hành, </w:t>
      </w:r>
      <w:r w:rsidRPr="0036489E">
        <w:rPr>
          <w:spacing w:val="-2"/>
          <w:sz w:val="28"/>
          <w:szCs w:val="28"/>
          <w:lang w:val="vi-VN"/>
        </w:rPr>
        <w:t>cập nhật theo từng thời kỳ; bảo đảm quyền tiếp cận bình đẳng của tổ chức ngoài công lập theo Điều 37 Luật số 93/2025/QH15; gắn kết chính sách hỗ trợ công nghệ với công tác phát triển tài sản trí tuệ, xây dựng thương hiệu sản phẩm địa phương.</w:t>
      </w:r>
    </w:p>
    <w:p w14:paraId="08CA991C" w14:textId="77777777" w:rsidR="007507D7" w:rsidRPr="007507D7" w:rsidRDefault="007507D7" w:rsidP="007507D7">
      <w:pPr>
        <w:spacing w:before="120" w:after="120"/>
        <w:ind w:firstLine="709"/>
        <w:jc w:val="both"/>
        <w:rPr>
          <w:b/>
          <w:bCs/>
          <w:sz w:val="28"/>
          <w:szCs w:val="28"/>
          <w:lang w:val="vi-VN"/>
        </w:rPr>
      </w:pPr>
      <w:r w:rsidRPr="007507D7">
        <w:rPr>
          <w:b/>
          <w:bCs/>
          <w:sz w:val="28"/>
          <w:szCs w:val="28"/>
          <w:lang w:val="vi-VN"/>
        </w:rPr>
        <w:t>III. QUÁ TRÌNH XÂY DỰNG DỰ THẢO NGHỊ QUYẾT</w:t>
      </w:r>
    </w:p>
    <w:p w14:paraId="0EF3DF7D" w14:textId="77777777" w:rsidR="0036489E" w:rsidRPr="00701E84" w:rsidRDefault="007507D7" w:rsidP="007507D7">
      <w:pPr>
        <w:spacing w:before="120" w:after="120"/>
        <w:ind w:firstLine="709"/>
        <w:jc w:val="both"/>
        <w:rPr>
          <w:sz w:val="28"/>
          <w:szCs w:val="28"/>
          <w:lang w:val="vi-VN"/>
        </w:rPr>
      </w:pPr>
      <w:r w:rsidRPr="007507D7">
        <w:rPr>
          <w:sz w:val="28"/>
          <w:szCs w:val="28"/>
          <w:lang w:val="vi-VN"/>
        </w:rPr>
        <w:t xml:space="preserve">Thực hiện chỉ đạo của Ủy ban nhân dân tỉnh, cơ quan được giao chủ trì soạn thảo đã thực hiện: (1) rà soát, đánh giá kết quả hỗ trợ ứng dụng, chuyển giao và đổi mới công nghệ trên địa bàn tỉnh giai đoạn 2019 - 2025; (2) nghiên cứu hệ thống pháp luật mới (Luật số 93/2025/QH15, Luật Chuyển giao công nghệ sửa đổi năm 2025, các Nghị định số 265, 267, 268/2025/NĐ-CP, Nghị định số 101/2026/NĐ-CP, Thông tư số 36, 38, 39/2025/TT-BKHCN); (3) trên cơ sở Tờ trình số 446/TTr-UBND ngày 05/6/2026 đăng ký xây dựng Nghị quyết, Thường trực Hội đồng nhân dân tỉnh đã có Thông báo số 94/TB-TT ngày 29/6/2026 chấp thuận đăng ký xây dựng Nghị quyết; (4) xây dựng dự thảo Tờ trình, dự thảo Nghị quyết và Quy định kèm theo; tự rà soát nội bộ, đối chiếu với hệ thống pháp luật hiện hành và tham khảo kinh nghiệm xây dựng chính sách tương tự của một số tỉnh, thành phố (thành phố Cần Thơ, tỉnh Vĩnh Long, tỉnh Đồng Tháp, thành phố Đà Nẵng); hoàn thiện hồ sơ theo quy định tại Nghị định số 187/2025/NĐ-CP (Bản </w:t>
      </w:r>
      <w:r w:rsidRPr="007507D7">
        <w:rPr>
          <w:sz w:val="28"/>
          <w:szCs w:val="28"/>
          <w:lang w:val="vi-VN"/>
        </w:rPr>
        <w:lastRenderedPageBreak/>
        <w:t xml:space="preserve">so sánh, thuyết minh dự thảo; Báo cáo tổng kết thi hành pháp luật; Báo cáo đánh giá thực trạng quan hệ xã hội; Bản đánh giá thủ tục hành chính). </w:t>
      </w:r>
    </w:p>
    <w:p w14:paraId="5F608D87" w14:textId="402CBA4D" w:rsidR="007507D7" w:rsidRPr="007507D7" w:rsidRDefault="007507D7" w:rsidP="007507D7">
      <w:pPr>
        <w:spacing w:before="120" w:after="120"/>
        <w:ind w:firstLine="709"/>
        <w:jc w:val="both"/>
        <w:rPr>
          <w:sz w:val="28"/>
          <w:szCs w:val="28"/>
          <w:lang w:val="vi-VN"/>
        </w:rPr>
      </w:pPr>
      <w:r w:rsidRPr="007507D7">
        <w:rPr>
          <w:sz w:val="28"/>
          <w:szCs w:val="28"/>
          <w:lang w:val="vi-VN"/>
        </w:rPr>
        <w:t>Trên cơ sở kết quả rà soát nội bộ nêu trên, cơ quan chủ trì soạn thảo tiếp tục thực hiện: (5) tổ chức lấy ý kiến các sở, ban, ngành, Ủy ban nhân dân cấp xã, phường, đặc khu, cơ quan, tổ chức, cá nhân có liên quan và đăng tải công khai theo quy định; (6) tổng hợp, tiếp thu, giải trình ý kiến góp ý, hoàn thiện hồ sơ gửi Sở Tư pháp thẩm định trước khi trình Ủy ban nhân dân tỉnh xem xét, trình Hội đồng nhân dân tỉnh quyết định.</w:t>
      </w:r>
    </w:p>
    <w:p w14:paraId="16226364" w14:textId="77777777" w:rsidR="007507D7" w:rsidRPr="007507D7" w:rsidRDefault="007507D7" w:rsidP="007507D7">
      <w:pPr>
        <w:spacing w:before="120" w:after="120"/>
        <w:ind w:firstLine="709"/>
        <w:jc w:val="both"/>
        <w:rPr>
          <w:b/>
          <w:bCs/>
          <w:sz w:val="28"/>
          <w:szCs w:val="28"/>
          <w:lang w:val="vi-VN"/>
        </w:rPr>
      </w:pPr>
      <w:r w:rsidRPr="007507D7">
        <w:rPr>
          <w:b/>
          <w:bCs/>
          <w:sz w:val="28"/>
          <w:szCs w:val="28"/>
          <w:lang w:val="vi-VN"/>
        </w:rPr>
        <w:t>IV. BỐ CỤC VÀ NỘI DUNG CƠ BẢN</w:t>
      </w:r>
    </w:p>
    <w:p w14:paraId="404BA3A8" w14:textId="77777777" w:rsidR="007507D7" w:rsidRPr="007507D7" w:rsidRDefault="007507D7" w:rsidP="007507D7">
      <w:pPr>
        <w:spacing w:before="120" w:after="120"/>
        <w:ind w:firstLine="709"/>
        <w:jc w:val="both"/>
        <w:rPr>
          <w:sz w:val="28"/>
          <w:szCs w:val="28"/>
          <w:lang w:val="vi-VN"/>
        </w:rPr>
      </w:pPr>
      <w:r w:rsidRPr="007507D7">
        <w:rPr>
          <w:b/>
          <w:bCs/>
          <w:sz w:val="28"/>
          <w:szCs w:val="28"/>
          <w:lang w:val="vi-VN"/>
        </w:rPr>
        <w:t>1. Phạm vi điều chỉnh, đối tượng áp dụng</w:t>
      </w:r>
    </w:p>
    <w:p w14:paraId="30D243F1"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Quy định chính sách hỗ trợ ứng dụng, chuyển giao và đổi mới công nghệ trên địa bàn tỉnh An Giang giai đoạn 2026 - 2030, bao gồm: đối tượng thụ hưởng, điều kiện, hình thức, mức hỗ trợ, lĩnh vực ưu tiên và trách nhiệm tổ chức thực hiện. Đối tượng gồm: tổ chức, doanh nghiệp có tư cách pháp nhân; tổ chức ngoài công lập hoạt động trong lĩnh vực khoa học, công nghệ và đổi mới sáng tạo; tổ chức trung gian thị trường khoa học và công nghệ (sau đây gọi chung là tổ chức), hoạt động trên địa bàn tỉnh An Giang.</w:t>
      </w:r>
    </w:p>
    <w:p w14:paraId="0D853B36" w14:textId="77777777" w:rsidR="007507D7" w:rsidRPr="007507D7" w:rsidRDefault="007507D7" w:rsidP="007507D7">
      <w:pPr>
        <w:spacing w:before="120" w:after="120"/>
        <w:ind w:firstLine="709"/>
        <w:jc w:val="both"/>
        <w:rPr>
          <w:b/>
          <w:bCs/>
          <w:sz w:val="28"/>
          <w:szCs w:val="28"/>
          <w:lang w:val="vi-VN"/>
        </w:rPr>
      </w:pPr>
      <w:r w:rsidRPr="007507D7">
        <w:rPr>
          <w:b/>
          <w:bCs/>
          <w:sz w:val="28"/>
          <w:szCs w:val="28"/>
          <w:lang w:val="vi-VN"/>
        </w:rPr>
        <w:t>2. Bố cục của dự thảo</w:t>
      </w:r>
    </w:p>
    <w:p w14:paraId="4B3D451B"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Nghị quyết gồm 03 Điều (Ban hành Quy định; Tổ chức thực hiện; Hiệu lực thi hành); Quy định ban hành kèm theo Nghị quyết gồm 03 Chương, 10 Điều.</w:t>
      </w:r>
    </w:p>
    <w:p w14:paraId="08910962" w14:textId="77777777" w:rsidR="007507D7" w:rsidRPr="007507D7" w:rsidRDefault="007507D7" w:rsidP="007507D7">
      <w:pPr>
        <w:spacing w:before="120" w:after="120"/>
        <w:ind w:firstLine="709"/>
        <w:jc w:val="both"/>
        <w:rPr>
          <w:b/>
          <w:bCs/>
          <w:sz w:val="28"/>
          <w:szCs w:val="28"/>
          <w:lang w:val="vi-VN"/>
        </w:rPr>
      </w:pPr>
      <w:r w:rsidRPr="007507D7">
        <w:rPr>
          <w:b/>
          <w:bCs/>
          <w:sz w:val="28"/>
          <w:szCs w:val="28"/>
          <w:lang w:val="vi-VN"/>
        </w:rPr>
        <w:t>3. Nội dung cơ bản</w:t>
      </w:r>
    </w:p>
    <w:p w14:paraId="3F21AFA5"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Chương I (Quy định chung, Điều 1-5) xác định phạm vi điều chỉnh (Điều 1), đối tượng áp dụng - gọi chung là tổ chức (Điều 2), nguyên tắc hỗ trợ (Điều 3, trong đó xác định trần hỗ trợ 2.000 triệu đồng/tổ chức và chỉ hỗ trợ một lần trong cả giai đoạn đối với nội dung hỗ trợ nhiệm vụ khoa học và công nghệ tại Điều 6, Điều 7; không áp dụng đối với nội dung hỗ trợ phát triển thị trường khoa học và công nghệ tại Điều 8), lĩnh vực và thứ tự ưu tiên hỗ trợ theo 03 Nhóm (Điều 4: Nhóm 1 - công nghệ chiến lược theo Quyết định số 21/2026/QĐ-TTg; Nhóm 2 - công nghệ phục vụ ngành, lĩnh vực có lợi thế của tỉnh; Nhóm 3 - lĩnh vực công nghệ khác, kèm 04 tiêu chí ưu tiên xét chọn khi hồ sơ vượt dự toán theo thứ tự: công nghệ xanh/môi trường, kinh tế tuần hoàn, sản phẩm mang nhãn hiệu chứng nhận/chỉ dẫn địa lý/sản phẩm OCOP của tỉnh An Giang, doanh nghiệp nhỏ và vừa/hợp tác xã lần đầu tiếp nhận hỗ trợ) và điều kiện chung được hỗ trợ, bao gồm điều kiện đặc thù cho từng nội dung và các trường hợp không được tham gia đề xuất nhiệm vụ (Điều 5).</w:t>
      </w:r>
    </w:p>
    <w:p w14:paraId="0A5C2BE1"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 xml:space="preserve">Chương II (Nội dung và mức hỗ trợ, Điều 6-8) gồm 03 nhóm nội dung: (i) Hỗ trợ ứng dụng, chuyển giao và đổi mới công nghệ (Điều 6): không quá 30% chi phí, không quá 1.500 triệu đồng/nhiệm vụ; riêng nhiệm vụ thuộc Danh mục công nghệ chiến lược theo Quyết định số 21/2026/QĐ-TTg: không quá 50%, không quá 2.000 triệu đồng/nhiệm vụ; duy trì, khai thác kết quả tối thiểu 05 năm theo Điều 31, Điều 32 Nghị định số 267/2025/NĐ-CP; (ii) Hỗ trợ sản xuất thử nghiệm </w:t>
      </w:r>
      <w:r w:rsidRPr="007507D7">
        <w:rPr>
          <w:sz w:val="28"/>
          <w:szCs w:val="28"/>
          <w:lang w:val="vi-VN"/>
        </w:rPr>
        <w:lastRenderedPageBreak/>
        <w:t>và thương mại hóa kết quả nghiên cứu khoa học, phát triển công nghệ (Điều 7): không quá 30%, không quá 1.000 triệu đồng/nhiệm vụ; công nghệ được chuyển giao phải thuộc Danh mục công nghệ khuyến khích chuyển giao theo Điều 9 Luật Chuyển giao công nghệ; duy trì kết quả tối thiểu 05 năm theo Điều 31, Điều 32, Điều 33 Nghị định số 267/2025/NĐ-CP; (iii) Hỗ trợ phát triển thị trường khoa học và công nghệ (Điều 8): hoạt động xúc tiến thị trường thực hiện thông qua Kế hoạch xúc tiến thị trường khoa học và công nghệ hằng năm được cấp có thẩm quyền phê duyệt, hỗ trợ 100% chi phí thuê gian hàng, thiết kế, tham gia sự kiện theo hóa đơn, chứng từ hợp lệ nhưng không quá 20 triệu đồng/lượt (trong nước), không quá 50 triệu đồng/lượt (nước ngoài), mỗi tổ chức tối đa 02 lần/năm; riêng nội dung xúc tiến giao dịch chuyển giao công nghệ và phát triển tổ chức trung gian thực hiện theo Điều 58, Điều 59, Điều 60 Nghị định số 268/2025/NĐ-CP.</w:t>
      </w:r>
    </w:p>
    <w:p w14:paraId="0D0C0F8A"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Chương III (Tổ chức thực hiện, Điều 9-10) quy định nguồn kinh phí thực hiện chính sách (Điều 9, không ấn định tổng mức cụ thể cho cả giai đoạn, giao Ủy ban nhân dân tỉnh xây dựng dự toán hằng năm trình Hội đồng nhân dân tỉnh quyết định theo Luật Ngân sách nhà nước, đồng thời quy định nguyên tắc quản lý, sử dụng, thanh toán, quyết toán kinh phí theo pháp luật về ngân sách nhà nước) và trách nhiệm chung của Ủy ban nhân dân tỉnh (Điều 10), không liệt kê chi tiết nhiệm vụ của từng cơ quan chuyên môn cụ thể; khoản 2 Điều 10 quy định nguyên tắc áp dụng văn bản dẫn chiếu khi được sửa đổi, bổ sung hoặc thay thế.</w:t>
      </w:r>
    </w:p>
    <w:p w14:paraId="22BCC879" w14:textId="77777777" w:rsidR="007507D7" w:rsidRPr="007507D7" w:rsidRDefault="007507D7" w:rsidP="007507D7">
      <w:pPr>
        <w:spacing w:before="120" w:after="120"/>
        <w:ind w:firstLine="709"/>
        <w:jc w:val="both"/>
        <w:rPr>
          <w:b/>
          <w:bCs/>
          <w:sz w:val="28"/>
          <w:szCs w:val="28"/>
          <w:lang w:val="vi-VN"/>
        </w:rPr>
      </w:pPr>
      <w:r w:rsidRPr="007507D7">
        <w:rPr>
          <w:b/>
          <w:bCs/>
          <w:sz w:val="28"/>
          <w:szCs w:val="28"/>
          <w:lang w:val="vi-VN"/>
        </w:rPr>
        <w:t>V. NHỮNG ĐIỂM CẦN LƯU Ý VỀ NỘI DUNG DỰ THẢO</w:t>
      </w:r>
    </w:p>
    <w:p w14:paraId="3F638B4B"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Ủy ban nhân dân tỉnh xin báo cáo Hội đồng nhân dân tỉnh một số điểm chính sách đáng lưu ý sau đây; các nội dung mang tính kỹ thuật soạn thảo văn bản (bố cục, thứ tự Điều, tên gọi, thuật ngữ...) do cơ quan chủ trì soạn thảo tự rà soát, điều chỉnh nội bộ, bảo đảm đúng thể thức và không trình bày chi tiết trong Tờ trình này:</w:t>
      </w:r>
    </w:p>
    <w:p w14:paraId="68E3A512"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 xml:space="preserve">(1) Về xử lý chính sách trước đây: chính sách hỗ trợ giai đoạn 2019 - 2025 do Ủy ban nhân dân tỉnh ban hành (Quyết định số 71/2019/QĐ-UBND, Quyết định số 16/2023/QĐ-UBND) đã được xử lý bằng Quyết định số 70/2026/QĐ-UBND ngày 18/7/2026 của Ủy ban nhân dân tỉnh bãi bỏ toàn bộ hai Quyết định nêu trên, có hiệu lực thi hành từ ngày 28/7/2026, đúng thẩm quyền tự bãi bỏ văn bản do chính mình ban hành, không quy định nội dung này trong Nghị quyết của Hội đồng nhân dân tỉnh; cách xử lý này khác với thông lệ một số địa phương ban hành nghị quyết thay thế nghị quyết cùng cấp trước đó (ví dụ thành phố Đà Nẵng: Nghị quyết số 33/2026/NQ-HĐND thay thế Nghị quyết số 35/2024/NQ-HĐND, có quy định điều khoản chuyển tiếp ngay trong Nghị quyết) do bản chất khác nhau: trường hợp của tỉnh An Giang là xử lý văn bản do cơ quan khác cấp thẩm quyền ban hành trước đây (Ủy ban nhân dân tỉnh) nay đã đương nhiên hết hiệu lực do thẩm quyền chuyển sang Hội đồng nhân dân tỉnh, không phải quan hệ thay thế nghị quyết cùng cấp, nên áp dụng phương thức Ủy ban nhân dân tỉnh tự bãi bỏ văn bản của mình là phù hợp thẩm quyền hơn. Tuy nhiên, do Quyết định số 70/2026/QĐ-UBND đã có hiệu lực từ ngày 28/7/2026 trong khi dự thảo Nghị quyết thay thế chưa được Hội đồng nhân dân tỉnh thông qua, hiện đang phát sinh </w:t>
      </w:r>
      <w:r w:rsidRPr="007507D7">
        <w:rPr>
          <w:sz w:val="28"/>
          <w:szCs w:val="28"/>
          <w:lang w:val="vi-VN"/>
        </w:rPr>
        <w:lastRenderedPageBreak/>
        <w:t>khoảng trống chính sách (tỉnh An Giang tạm thời không có văn bản nào đang hiệu lực quy định hỗ trợ ứng dụng, chuyển giao, đổi mới công nghệ); kính đề nghị Thường trực Hội đồng nhân dân tỉnh xem xét, bố trí đưa nội dung này vào kỳ họp gần nhất để hạn chế tối đa thời gian phát sinh khoảng trống nêu trên;</w:t>
      </w:r>
    </w:p>
    <w:p w14:paraId="004081CE"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(2) Về nguyên tắc và mức hỗ trợ: mỗi tổ chức chỉ được hỗ trợ một lần trong cả giai đoạn 2026 - 2030 đối với nội dung hỗ trợ nhiệm vụ khoa học và công nghệ (Điều 6, Điều 7 Quy định), tổng mức không vượt quá 2.000 triệu đồng/tổ chức, nhằm mở rộng phạm vi thụ hưởng chính sách cho nhiều tổ chức hơn, tránh tập trung hỗ trợ lặp lại vào một số ít đối tượng; nguyên tắc này không áp dụng đối với nội dung hỗ trợ phát triển thị trường khoa học và công nghệ tại Điều 8 Quy định (được hỗ trợ theo năm, tối đa 02 lần/năm, do khác bản chất - hỗ trợ hoạt động xúc tiến định kỳ hằng năm, không phải hỗ trợ nhiệm vụ một lần); đồng thời bổ sung tiêu chí ưu tiên xét chọn đối với sản phẩm mang nhãn hiệu chứng nhận, nhãn hiệu tập thể, chỉ dẫn địa lý của tỉnh An Giang, gắn chính sách công nghệ với phát triển tài sản trí tuệ, thương hiệu sản phẩm địa phương;</w:t>
      </w:r>
    </w:p>
    <w:p w14:paraId="45C05C48" w14:textId="77777777" w:rsidR="007507D7" w:rsidRPr="0036489E" w:rsidRDefault="007507D7" w:rsidP="007507D7">
      <w:pPr>
        <w:spacing w:before="120" w:after="120"/>
        <w:ind w:firstLine="709"/>
        <w:jc w:val="both"/>
        <w:rPr>
          <w:sz w:val="28"/>
          <w:szCs w:val="28"/>
          <w:lang w:val="vi-VN"/>
        </w:rPr>
      </w:pPr>
      <w:r w:rsidRPr="007507D7">
        <w:rPr>
          <w:sz w:val="28"/>
          <w:szCs w:val="28"/>
          <w:lang w:val="vi-VN"/>
        </w:rPr>
        <w:t>(3) Về kinh phí thực hiện chính sách: dự thảo không ấn định tổng mức kinh phí cụ thể cho cả giai đoạn 2026 - 2030, mà giao Ủy ban nhân dân tỉnh căn cứ khả năng cân đối ngân sách địa phương từng năm để xây dựng dự toán, trình Hội đồng nhân dân tỉnh quyết định theo Luật Ngân sách nhà nước, tránh đặt ra cam kết cứng có thể không còn phù hợp khả năng ngân sách thực tế qua từng năm;</w:t>
      </w:r>
    </w:p>
    <w:p w14:paraId="7FA10295"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(4) Về tổ chức thực hiện: dự thảo chỉ quy định trách nhiệm chung của Ủy ban nhân dân tỉnh, không quy định riêng trách nhiệm của Sở Khoa học và Công nghệ hay cơ quan chuyên môn cụ thể nào, không quy định trình tự, thủ tục hành chính chi tiết (thời hạn từng bước xử lý hồ sơ, thẩm quyền quyết định) như thông lệ một số địa phương (ví dụ thành phố Đà Nẵng), mà dẫn chiếu thực hiện theo trình tự, thủ tục nhiệm vụ khoa học và công nghệ hiện hành tại Nghị định số 267/2025/NĐ-CP, Nghị định số 268/2025/NĐ-CP và Thông tư số 36/2025/TT-BKHCN, bảo đảm tính ổn định của văn bản quy phạm pháp luật trong bối cảnh sắp xếp tổ chức bộ máy chính quyền địa phương và không làm phát sinh thủ tục hành chính mới; đồng thời quy định nguyên tắc áp dụng văn bản của cơ quan nhà nước cấp trên khi được sửa đổi, bổ sung hoặc thay thế, bảo đảm chính sách của tỉnh luôn tương thích với hệ thống pháp luật hiện hành.</w:t>
      </w:r>
    </w:p>
    <w:p w14:paraId="5EED00D8" w14:textId="77777777" w:rsidR="007507D7" w:rsidRPr="007507D7" w:rsidRDefault="007507D7" w:rsidP="007507D7">
      <w:pPr>
        <w:spacing w:before="120" w:after="120"/>
        <w:ind w:firstLine="709"/>
        <w:jc w:val="both"/>
        <w:rPr>
          <w:b/>
          <w:bCs/>
          <w:sz w:val="28"/>
          <w:szCs w:val="28"/>
          <w:lang w:val="vi-VN"/>
        </w:rPr>
      </w:pPr>
      <w:r w:rsidRPr="007507D7">
        <w:rPr>
          <w:b/>
          <w:bCs/>
          <w:sz w:val="28"/>
          <w:szCs w:val="28"/>
          <w:lang w:val="vi-VN"/>
        </w:rPr>
        <w:t>VI. DỰ KIẾN NGUỒN LỰC VÀ THỜI GIAN TRÌNH THÔNG QUA</w:t>
      </w:r>
    </w:p>
    <w:p w14:paraId="45463BE8"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Kinh phí thực hiện: bố trí trong dự toán chi sự nghiệp khoa học và công nghệ hằng năm của tỉnh theo quy định của Luật Ngân sách nhà nước số 89/2025/QH15; ngoài ra huy động vốn đối ứng của doanh nghiệp, hợp tác xã và các nguồn hợp pháp khác theo quy định của pháp luật về khoa học, công nghệ và đổi mới sáng tạo và pháp luật có liên quan. Dự thảo không ấn định trước một tổng mức kinh phí cụ thể cho cả giai đoạn 2026 - 2030 (Điều 9 Quy định), để bảo đảm việc bố trí ngân sách hằng năm phù hợp khả năng cân đối thực tế của tỉnh và được Hội đồng nhân dân tỉnh quyết định theo đúng trình tự, thẩm quyền quy định tại Luật Ngân sách nhà nước, không tạo cam kết cứng vượt quá khả năng ngân sách.</w:t>
      </w:r>
    </w:p>
    <w:p w14:paraId="3274FA2A" w14:textId="174271E3" w:rsidR="007507D7" w:rsidRPr="00701E84" w:rsidRDefault="007507D7" w:rsidP="007507D7">
      <w:pPr>
        <w:spacing w:before="120" w:after="120"/>
        <w:ind w:firstLine="709"/>
        <w:jc w:val="both"/>
        <w:rPr>
          <w:sz w:val="28"/>
          <w:szCs w:val="28"/>
          <w:lang w:val="vi-VN"/>
        </w:rPr>
      </w:pPr>
      <w:r w:rsidRPr="007507D7">
        <w:rPr>
          <w:sz w:val="28"/>
          <w:szCs w:val="28"/>
          <w:lang w:val="vi-VN"/>
        </w:rPr>
        <w:lastRenderedPageBreak/>
        <w:t>Nguyên tắc mỗi tổ chức chỉ được hỗ trợ một lần trong cả giai đoạn đối với nội dung hỗ trợ nhiệm vụ khoa học và công nghệ, tổng mức không vượt quá 2.000 triệu đồng/tổ chức (khoản 4 Điều 3 Quy định) giúp kiểm soát tổng mức chi ngân sách nhà nước dù không ấn định trước tổng kinh phí toàn giai đoạn, đồng thời mở rộng phạm vi thụ hưởng chính sách cho nhiều tổ chức hơn. Qua rà soát, đối chiếu với chính sách tương tự đã ban hành tại một số tỉnh, thành phố, mức hỗ trợ và trần kinh phí của dự thảo An Giang (30-50%, tối đa 1.500-2.000 triệu đồng/nhiệm vụ, hỗ trợ một lần trong cả giai đoạn) thấp hơn mức của thành phố Đà Nẵng (Nghị quyết số 33/2026/NQ-HĐND: 15-70% tùy loại công nghệ, tối đa 3.000 triệu đồng/tổ chức/năm, hỗ trợ theo năm, không giới hạn số năm hỗ trợ liên tiếp trong hạn mức 02 dự án/năm), nhưng có phạm vi đối tượng thụ hưởng dự kiến rộng hơn do thiết kế mức trần theo cả giai đoạn thay vì theo năm</w:t>
      </w:r>
      <w:r w:rsidR="0036489E" w:rsidRPr="0036489E">
        <w:rPr>
          <w:sz w:val="28"/>
          <w:szCs w:val="28"/>
          <w:lang w:val="vi-VN"/>
        </w:rPr>
        <w:t>.</w:t>
      </w:r>
      <w:r w:rsidR="00CD19AF" w:rsidRPr="00CD19AF">
        <w:rPr>
          <w:sz w:val="28"/>
          <w:szCs w:val="28"/>
          <w:lang w:val="vi-VN"/>
        </w:rPr>
        <w:t xml:space="preserve"> </w:t>
      </w:r>
      <w:r w:rsidR="0036489E" w:rsidRPr="0036489E">
        <w:rPr>
          <w:sz w:val="28"/>
          <w:szCs w:val="28"/>
          <w:lang w:val="vi-VN"/>
        </w:rPr>
        <w:t>Mức hỗ trợ và trần kinh phí nêu trên đã được đối chiếu, cân nhắc trên cơ sở tham khảo chính sách tương tự tại một số tỉnh, thành phố (thành phố Cần Thơ, tỉnh Vĩnh Long, tỉnh Đồng Tháp, thành phố Đà Nẵng), bảo đảm tính thuyết phục, khả thi và phù hợp điều kiện thực tiễn của tỉnh.</w:t>
      </w:r>
    </w:p>
    <w:p w14:paraId="4CADF0A7" w14:textId="0C5DC708" w:rsidR="007507D7" w:rsidRPr="007507D7" w:rsidRDefault="007507D7" w:rsidP="007507D7">
      <w:pPr>
        <w:spacing w:before="120" w:after="120"/>
        <w:ind w:firstLine="709"/>
        <w:jc w:val="both"/>
        <w:rPr>
          <w:sz w:val="28"/>
          <w:szCs w:val="28"/>
          <w:lang w:val="vi-VN"/>
        </w:rPr>
      </w:pPr>
      <w:r w:rsidRPr="007507D7">
        <w:rPr>
          <w:sz w:val="28"/>
          <w:szCs w:val="28"/>
          <w:lang w:val="vi-VN"/>
        </w:rPr>
        <w:t xml:space="preserve">Kính đề nghị Hội đồng nhân dân tỉnh xem xét, thông qua dự thảo Nghị quyết tại Kỳ họp tháng </w:t>
      </w:r>
      <w:r w:rsidR="0036489E" w:rsidRPr="00701E84">
        <w:rPr>
          <w:sz w:val="28"/>
          <w:szCs w:val="28"/>
          <w:lang w:val="vi-VN"/>
        </w:rPr>
        <w:t>9</w:t>
      </w:r>
      <w:r w:rsidRPr="007507D7">
        <w:rPr>
          <w:sz w:val="28"/>
          <w:szCs w:val="28"/>
          <w:lang w:val="vi-VN"/>
        </w:rPr>
        <w:t xml:space="preserve"> năm 2026.</w:t>
      </w:r>
    </w:p>
    <w:p w14:paraId="47F616E0" w14:textId="77777777" w:rsidR="007507D7" w:rsidRPr="007507D7" w:rsidRDefault="007507D7" w:rsidP="007507D7">
      <w:pPr>
        <w:spacing w:before="120" w:after="120"/>
        <w:ind w:firstLine="709"/>
        <w:jc w:val="both"/>
        <w:rPr>
          <w:sz w:val="28"/>
          <w:szCs w:val="28"/>
          <w:lang w:val="vi-VN"/>
        </w:rPr>
      </w:pPr>
      <w:r w:rsidRPr="007507D7">
        <w:rPr>
          <w:sz w:val="28"/>
          <w:szCs w:val="28"/>
          <w:lang w:val="vi-VN"/>
        </w:rPr>
        <w:t>Trên đây là Tờ trình dự thảo Nghị quyết quy định chính sách hỗ trợ ứng dụng, chuyển giao và đổi mới công nghệ trên địa bàn tỉnh An Giang giai đoạn 2026 - 2030, Ủy ban nhân dân tỉnh kính trình Hội đồng nhân dân tỉnh xem xét, quyết định.</w:t>
      </w:r>
    </w:p>
    <w:p w14:paraId="3BAFAEB5" w14:textId="6D2A4D7A" w:rsidR="00DC40F5" w:rsidRPr="007507D7" w:rsidRDefault="007507D7" w:rsidP="007507D7">
      <w:pPr>
        <w:spacing w:before="120" w:after="120"/>
        <w:ind w:firstLine="709"/>
        <w:jc w:val="both"/>
        <w:rPr>
          <w:i/>
          <w:iCs/>
          <w:sz w:val="28"/>
          <w:szCs w:val="28"/>
          <w:lang w:val="vi-VN"/>
        </w:rPr>
      </w:pPr>
      <w:r w:rsidRPr="007507D7">
        <w:rPr>
          <w:i/>
          <w:iCs/>
          <w:sz w:val="28"/>
          <w:szCs w:val="28"/>
          <w:lang w:val="vi-VN"/>
        </w:rPr>
        <w:t xml:space="preserve">(Xin gửi kèm theo: </w:t>
      </w:r>
      <w:r w:rsidR="00786665" w:rsidRPr="00786665">
        <w:rPr>
          <w:i/>
          <w:iCs/>
          <w:sz w:val="28"/>
          <w:szCs w:val="28"/>
          <w:lang w:val="vi-VN"/>
        </w:rPr>
        <w:t>Dự thảo Nghị quyết và Quy định ban hành kèm theo; Bản so sánh, thuyết minh dự thảo văn bản; Báo cáo tổng kết việc thi hành pháp luật; Báo cáo đánh giá thực trạng quan hệ xã hội; Bản đánh giá thủ tục hành chính, việc phân quyền, phân cấp, việc ứng dụng, thúc đẩy phát triển khoa học, công nghệ, đổi mới sáng tạo và chuyển đổi số, bảo đảm bình đẳng giới, việc thực hiện chính sách dân tộc; Bản tổng hợp, giải trình, tiếp thu ý kiến góp ý của các sở, ban, ngành, cơ quan, tổ chức, cá nhân có liên quan</w:t>
      </w:r>
      <w:r w:rsidRPr="007507D7">
        <w:rPr>
          <w:i/>
          <w:iCs/>
          <w:sz w:val="28"/>
          <w:szCs w:val="28"/>
          <w:lang w:val="vi-VN"/>
        </w:rPr>
        <w:t>).</w:t>
      </w:r>
    </w:p>
    <w:p w14:paraId="5DCE1C1C" w14:textId="77777777" w:rsidR="00DC40F5" w:rsidRPr="007507D7" w:rsidRDefault="00DC40F5">
      <w:pPr>
        <w:spacing w:after="200"/>
        <w:rPr>
          <w:lang w:val="vi-VN"/>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4700"/>
      </w:tblGrid>
      <w:tr w:rsidR="00DC40F5" w14:paraId="604B6BA4" w14:textId="77777777">
        <w:tc>
          <w:tcPr>
            <w:tcW w:w="4700" w:type="dxa"/>
            <w:tcBorders>
              <w:top w:val="none" w:sz="0" w:space="0" w:color="FFFFFF"/>
              <w:left w:val="none" w:sz="0" w:space="0" w:color="FFFFFF"/>
              <w:bottom w:val="none" w:sz="0" w:space="0" w:color="FFFFFF"/>
              <w:right w:val="none" w:sz="0" w:space="0" w:color="FFFFFF"/>
            </w:tcBorders>
            <w:tcMar>
              <w:top w:w="60" w:type="dxa"/>
              <w:left w:w="60" w:type="dxa"/>
              <w:bottom w:w="60" w:type="dxa"/>
              <w:right w:w="60" w:type="dxa"/>
            </w:tcMar>
          </w:tcPr>
          <w:p w14:paraId="47194D84" w14:textId="77777777" w:rsidR="00DC40F5" w:rsidRPr="007507D7" w:rsidRDefault="00000000">
            <w:pPr>
              <w:spacing w:after="20"/>
              <w:rPr>
                <w:b/>
                <w:bCs/>
                <w:sz w:val="24"/>
                <w:szCs w:val="24"/>
                <w:lang w:val="vi-VN"/>
              </w:rPr>
            </w:pPr>
            <w:r w:rsidRPr="007507D7">
              <w:rPr>
                <w:b/>
                <w:bCs/>
                <w:i/>
                <w:iCs/>
                <w:sz w:val="24"/>
                <w:szCs w:val="24"/>
                <w:lang w:val="vi-VN"/>
              </w:rPr>
              <w:t>Nơi nhận:</w:t>
            </w:r>
          </w:p>
          <w:p w14:paraId="30BF97A5" w14:textId="77777777" w:rsidR="00DC40F5" w:rsidRPr="007507D7" w:rsidRDefault="00000000">
            <w:pPr>
              <w:spacing w:after="20"/>
              <w:rPr>
                <w:lang w:val="vi-VN"/>
              </w:rPr>
            </w:pPr>
            <w:r w:rsidRPr="007507D7">
              <w:rPr>
                <w:sz w:val="22"/>
                <w:szCs w:val="22"/>
                <w:lang w:val="vi-VN"/>
              </w:rPr>
              <w:t>- Như trên;</w:t>
            </w:r>
          </w:p>
          <w:p w14:paraId="412974DA" w14:textId="77777777" w:rsidR="00DC40F5" w:rsidRPr="007507D7" w:rsidRDefault="00000000">
            <w:pPr>
              <w:spacing w:after="20"/>
              <w:rPr>
                <w:lang w:val="vi-VN"/>
              </w:rPr>
            </w:pPr>
            <w:r w:rsidRPr="007507D7">
              <w:rPr>
                <w:sz w:val="22"/>
                <w:szCs w:val="22"/>
                <w:lang w:val="vi-VN"/>
              </w:rPr>
              <w:t>- Thường trực Tỉnh ủy (để báo cáo);</w:t>
            </w:r>
          </w:p>
          <w:p w14:paraId="6E7495DA" w14:textId="77777777" w:rsidR="00DC40F5" w:rsidRPr="007507D7" w:rsidRDefault="00000000">
            <w:pPr>
              <w:spacing w:after="20"/>
              <w:rPr>
                <w:lang w:val="vi-VN"/>
              </w:rPr>
            </w:pPr>
            <w:r w:rsidRPr="007507D7">
              <w:rPr>
                <w:sz w:val="22"/>
                <w:szCs w:val="22"/>
                <w:lang w:val="vi-VN"/>
              </w:rPr>
              <w:t>- Đoàn ĐBQH tỉnh (để biết);</w:t>
            </w:r>
          </w:p>
          <w:p w14:paraId="09A5B10D" w14:textId="77777777" w:rsidR="00DC40F5" w:rsidRPr="007507D7" w:rsidRDefault="00000000">
            <w:pPr>
              <w:spacing w:after="20"/>
              <w:rPr>
                <w:lang w:val="vi-VN"/>
              </w:rPr>
            </w:pPr>
            <w:r w:rsidRPr="007507D7">
              <w:rPr>
                <w:sz w:val="22"/>
                <w:szCs w:val="22"/>
                <w:lang w:val="vi-VN"/>
              </w:rPr>
              <w:t>- Sở Tư pháp (đã thẩm định);</w:t>
            </w:r>
          </w:p>
          <w:p w14:paraId="34860615" w14:textId="77777777" w:rsidR="00DC40F5" w:rsidRPr="007507D7" w:rsidRDefault="00000000">
            <w:pPr>
              <w:spacing w:after="20"/>
              <w:rPr>
                <w:lang w:val="vi-VN"/>
              </w:rPr>
            </w:pPr>
            <w:r w:rsidRPr="007507D7">
              <w:rPr>
                <w:sz w:val="22"/>
                <w:szCs w:val="22"/>
                <w:lang w:val="vi-VN"/>
              </w:rPr>
              <w:t>- Sở KH&amp;CN (thực hiện);</w:t>
            </w:r>
          </w:p>
          <w:p w14:paraId="14A41C9D" w14:textId="77777777" w:rsidR="00DC40F5" w:rsidRDefault="00000000">
            <w:pPr>
              <w:spacing w:after="20"/>
            </w:pPr>
            <w:r>
              <w:rPr>
                <w:sz w:val="22"/>
                <w:szCs w:val="22"/>
              </w:rPr>
              <w:t>- Lưu: VT, KGVX.</w:t>
            </w:r>
          </w:p>
        </w:tc>
        <w:tc>
          <w:tcPr>
            <w:tcW w:w="4700" w:type="dxa"/>
            <w:tcBorders>
              <w:top w:val="none" w:sz="0" w:space="0" w:color="FFFFFF"/>
              <w:left w:val="none" w:sz="0" w:space="0" w:color="FFFFFF"/>
              <w:bottom w:val="none" w:sz="0" w:space="0" w:color="FFFFFF"/>
              <w:right w:val="none" w:sz="0" w:space="0" w:color="FFFFFF"/>
            </w:tcBorders>
            <w:tcMar>
              <w:top w:w="60" w:type="dxa"/>
              <w:left w:w="60" w:type="dxa"/>
              <w:bottom w:w="60" w:type="dxa"/>
              <w:right w:w="60" w:type="dxa"/>
            </w:tcMar>
          </w:tcPr>
          <w:p w14:paraId="76EA635C" w14:textId="77777777" w:rsidR="00DC40F5" w:rsidRPr="00786665" w:rsidRDefault="00000000">
            <w:pPr>
              <w:spacing w:after="20"/>
              <w:jc w:val="center"/>
              <w:rPr>
                <w:sz w:val="28"/>
                <w:szCs w:val="28"/>
              </w:rPr>
            </w:pPr>
            <w:r w:rsidRPr="00786665">
              <w:rPr>
                <w:b/>
                <w:bCs/>
                <w:sz w:val="28"/>
                <w:szCs w:val="28"/>
              </w:rPr>
              <w:t>TM. ỦY BAN NHÂN DÂN</w:t>
            </w:r>
          </w:p>
          <w:p w14:paraId="18F2C6B2" w14:textId="77777777" w:rsidR="00DC40F5" w:rsidRPr="00786665" w:rsidRDefault="00000000">
            <w:pPr>
              <w:spacing w:after="20"/>
              <w:jc w:val="center"/>
              <w:rPr>
                <w:sz w:val="28"/>
                <w:szCs w:val="28"/>
              </w:rPr>
            </w:pPr>
            <w:r w:rsidRPr="00786665">
              <w:rPr>
                <w:b/>
                <w:bCs/>
                <w:sz w:val="28"/>
                <w:szCs w:val="28"/>
              </w:rPr>
              <w:t>KT. CHỦ TỊCH</w:t>
            </w:r>
          </w:p>
          <w:p w14:paraId="34BD6153" w14:textId="77777777" w:rsidR="00DC40F5" w:rsidRDefault="00000000">
            <w:pPr>
              <w:spacing w:after="20"/>
              <w:jc w:val="center"/>
            </w:pPr>
            <w:r w:rsidRPr="00786665">
              <w:rPr>
                <w:b/>
                <w:bCs/>
                <w:sz w:val="28"/>
                <w:szCs w:val="28"/>
              </w:rPr>
              <w:t>PHÓ CHỦ TỊCH</w:t>
            </w:r>
          </w:p>
        </w:tc>
      </w:tr>
    </w:tbl>
    <w:p w14:paraId="486D5F26" w14:textId="77777777" w:rsidR="001A0418" w:rsidRDefault="001A0418"/>
    <w:sectPr w:rsidR="001A0418" w:rsidSect="00FB2C0F">
      <w:headerReference w:type="even" r:id="rId7"/>
      <w:headerReference w:type="default" r:id="rId8"/>
      <w:pgSz w:w="11907" w:h="16840"/>
      <w:pgMar w:top="1134" w:right="1134" w:bottom="1134"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846BE" w14:textId="77777777" w:rsidR="00682893" w:rsidRDefault="00682893" w:rsidP="00FB2C0F">
      <w:r>
        <w:separator/>
      </w:r>
    </w:p>
  </w:endnote>
  <w:endnote w:type="continuationSeparator" w:id="0">
    <w:p w14:paraId="1B49E7C6" w14:textId="77777777" w:rsidR="00682893" w:rsidRDefault="00682893" w:rsidP="00FB2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4C1C4" w14:textId="77777777" w:rsidR="00682893" w:rsidRDefault="00682893" w:rsidP="00FB2C0F">
      <w:r>
        <w:separator/>
      </w:r>
    </w:p>
  </w:footnote>
  <w:footnote w:type="continuationSeparator" w:id="0">
    <w:p w14:paraId="55F1F3EA" w14:textId="77777777" w:rsidR="00682893" w:rsidRDefault="00682893" w:rsidP="00FB2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1825369"/>
      <w:docPartObj>
        <w:docPartGallery w:val="Page Numbers (Top of Page)"/>
        <w:docPartUnique/>
      </w:docPartObj>
    </w:sdtPr>
    <w:sdtContent>
      <w:p w14:paraId="039D5BE7" w14:textId="6AA04241" w:rsidR="00FB2C0F" w:rsidRDefault="00FB2C0F" w:rsidP="005472A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sidR="00000000">
          <w:rPr>
            <w:rStyle w:val="PageNumber"/>
          </w:rPr>
          <w:fldChar w:fldCharType="separate"/>
        </w:r>
        <w:r>
          <w:rPr>
            <w:rStyle w:val="PageNumber"/>
          </w:rPr>
          <w:fldChar w:fldCharType="end"/>
        </w:r>
      </w:p>
    </w:sdtContent>
  </w:sdt>
  <w:p w14:paraId="328DC3CD" w14:textId="77777777" w:rsidR="00FB2C0F" w:rsidRDefault="00FB2C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4"/>
        <w:szCs w:val="24"/>
      </w:rPr>
      <w:id w:val="11969104"/>
      <w:docPartObj>
        <w:docPartGallery w:val="Page Numbers (Top of Page)"/>
        <w:docPartUnique/>
      </w:docPartObj>
    </w:sdtPr>
    <w:sdtContent>
      <w:p w14:paraId="2A2D44FB" w14:textId="010D5A1A" w:rsidR="00FB2C0F" w:rsidRPr="00FB2C0F" w:rsidRDefault="00FB2C0F" w:rsidP="005472AB">
        <w:pPr>
          <w:pStyle w:val="Header"/>
          <w:framePr w:wrap="none" w:vAnchor="text" w:hAnchor="margin" w:xAlign="center" w:y="1"/>
          <w:rPr>
            <w:rStyle w:val="PageNumber"/>
            <w:sz w:val="24"/>
            <w:szCs w:val="24"/>
          </w:rPr>
        </w:pPr>
        <w:r w:rsidRPr="00FB2C0F">
          <w:rPr>
            <w:rStyle w:val="PageNumber"/>
            <w:sz w:val="24"/>
            <w:szCs w:val="24"/>
          </w:rPr>
          <w:fldChar w:fldCharType="begin"/>
        </w:r>
        <w:r w:rsidRPr="00FB2C0F">
          <w:rPr>
            <w:rStyle w:val="PageNumber"/>
            <w:sz w:val="24"/>
            <w:szCs w:val="24"/>
          </w:rPr>
          <w:instrText xml:space="preserve"> PAGE </w:instrText>
        </w:r>
        <w:r w:rsidRPr="00FB2C0F">
          <w:rPr>
            <w:rStyle w:val="PageNumber"/>
            <w:sz w:val="24"/>
            <w:szCs w:val="24"/>
          </w:rPr>
          <w:fldChar w:fldCharType="separate"/>
        </w:r>
        <w:r w:rsidRPr="00FB2C0F">
          <w:rPr>
            <w:rStyle w:val="PageNumber"/>
            <w:noProof/>
            <w:sz w:val="24"/>
            <w:szCs w:val="24"/>
          </w:rPr>
          <w:t>2</w:t>
        </w:r>
        <w:r w:rsidRPr="00FB2C0F">
          <w:rPr>
            <w:rStyle w:val="PageNumber"/>
            <w:sz w:val="24"/>
            <w:szCs w:val="24"/>
          </w:rPr>
          <w:fldChar w:fldCharType="end"/>
        </w:r>
      </w:p>
    </w:sdtContent>
  </w:sdt>
  <w:p w14:paraId="6C12D975" w14:textId="77777777" w:rsidR="00FB2C0F" w:rsidRDefault="00FB2C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F93785"/>
    <w:multiLevelType w:val="hybridMultilevel"/>
    <w:tmpl w:val="763C7AF2"/>
    <w:lvl w:ilvl="0" w:tplc="3B34A9CC">
      <w:start w:val="1"/>
      <w:numFmt w:val="bullet"/>
      <w:lvlText w:val="●"/>
      <w:lvlJc w:val="left"/>
      <w:pPr>
        <w:ind w:left="720" w:hanging="360"/>
      </w:pPr>
    </w:lvl>
    <w:lvl w:ilvl="1" w:tplc="9C38C148">
      <w:start w:val="1"/>
      <w:numFmt w:val="bullet"/>
      <w:lvlText w:val="○"/>
      <w:lvlJc w:val="left"/>
      <w:pPr>
        <w:ind w:left="1440" w:hanging="360"/>
      </w:pPr>
    </w:lvl>
    <w:lvl w:ilvl="2" w:tplc="8B1E8F74">
      <w:start w:val="1"/>
      <w:numFmt w:val="bullet"/>
      <w:lvlText w:val="■"/>
      <w:lvlJc w:val="left"/>
      <w:pPr>
        <w:ind w:left="2160" w:hanging="360"/>
      </w:pPr>
    </w:lvl>
    <w:lvl w:ilvl="3" w:tplc="B9FCAFEC">
      <w:start w:val="1"/>
      <w:numFmt w:val="bullet"/>
      <w:lvlText w:val="●"/>
      <w:lvlJc w:val="left"/>
      <w:pPr>
        <w:ind w:left="2880" w:hanging="360"/>
      </w:pPr>
    </w:lvl>
    <w:lvl w:ilvl="4" w:tplc="661C9E28">
      <w:start w:val="1"/>
      <w:numFmt w:val="bullet"/>
      <w:lvlText w:val="○"/>
      <w:lvlJc w:val="left"/>
      <w:pPr>
        <w:ind w:left="3600" w:hanging="360"/>
      </w:pPr>
    </w:lvl>
    <w:lvl w:ilvl="5" w:tplc="0478B144">
      <w:start w:val="1"/>
      <w:numFmt w:val="bullet"/>
      <w:lvlText w:val="■"/>
      <w:lvlJc w:val="left"/>
      <w:pPr>
        <w:ind w:left="4320" w:hanging="360"/>
      </w:pPr>
    </w:lvl>
    <w:lvl w:ilvl="6" w:tplc="2A403F3E">
      <w:start w:val="1"/>
      <w:numFmt w:val="bullet"/>
      <w:lvlText w:val="●"/>
      <w:lvlJc w:val="left"/>
      <w:pPr>
        <w:ind w:left="5040" w:hanging="360"/>
      </w:pPr>
    </w:lvl>
    <w:lvl w:ilvl="7" w:tplc="A1CA4DE0">
      <w:start w:val="1"/>
      <w:numFmt w:val="bullet"/>
      <w:lvlText w:val="●"/>
      <w:lvlJc w:val="left"/>
      <w:pPr>
        <w:ind w:left="5760" w:hanging="360"/>
      </w:pPr>
    </w:lvl>
    <w:lvl w:ilvl="8" w:tplc="FF8C25AE">
      <w:start w:val="1"/>
      <w:numFmt w:val="bullet"/>
      <w:lvlText w:val="●"/>
      <w:lvlJc w:val="left"/>
      <w:pPr>
        <w:ind w:left="6480" w:hanging="360"/>
      </w:pPr>
    </w:lvl>
  </w:abstractNum>
  <w:num w:numId="1" w16cid:durableId="19027877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0F5"/>
    <w:rsid w:val="001A0418"/>
    <w:rsid w:val="001E7ABC"/>
    <w:rsid w:val="0036489E"/>
    <w:rsid w:val="003704E5"/>
    <w:rsid w:val="004B008C"/>
    <w:rsid w:val="00682893"/>
    <w:rsid w:val="006B1171"/>
    <w:rsid w:val="00701E84"/>
    <w:rsid w:val="007507D7"/>
    <w:rsid w:val="00786665"/>
    <w:rsid w:val="007B2242"/>
    <w:rsid w:val="00835F6F"/>
    <w:rsid w:val="0089046F"/>
    <w:rsid w:val="008E21DA"/>
    <w:rsid w:val="00B83625"/>
    <w:rsid w:val="00BC128E"/>
    <w:rsid w:val="00BE278E"/>
    <w:rsid w:val="00CD19AF"/>
    <w:rsid w:val="00D22B86"/>
    <w:rsid w:val="00DC40F5"/>
    <w:rsid w:val="00F12C85"/>
    <w:rsid w:val="00FB2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1154F"/>
  <w15:docId w15:val="{00E8F63D-6049-5F4B-97C2-0DA74BD1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B2C0F"/>
    <w:pPr>
      <w:tabs>
        <w:tab w:val="center" w:pos="4680"/>
        <w:tab w:val="right" w:pos="9360"/>
      </w:tabs>
    </w:pPr>
  </w:style>
  <w:style w:type="character" w:customStyle="1" w:styleId="HeaderChar">
    <w:name w:val="Header Char"/>
    <w:basedOn w:val="DefaultParagraphFont"/>
    <w:link w:val="Header"/>
    <w:uiPriority w:val="99"/>
    <w:rsid w:val="00FB2C0F"/>
  </w:style>
  <w:style w:type="character" w:styleId="PageNumber">
    <w:name w:val="page number"/>
    <w:basedOn w:val="DefaultParagraphFont"/>
    <w:uiPriority w:val="99"/>
    <w:semiHidden/>
    <w:unhideWhenUsed/>
    <w:rsid w:val="00FB2C0F"/>
  </w:style>
  <w:style w:type="paragraph" w:styleId="Footer">
    <w:name w:val="footer"/>
    <w:basedOn w:val="Normal"/>
    <w:link w:val="FooterChar"/>
    <w:uiPriority w:val="99"/>
    <w:unhideWhenUsed/>
    <w:rsid w:val="00FB2C0F"/>
    <w:pPr>
      <w:tabs>
        <w:tab w:val="center" w:pos="4680"/>
        <w:tab w:val="right" w:pos="9360"/>
      </w:tabs>
    </w:pPr>
  </w:style>
  <w:style w:type="character" w:customStyle="1" w:styleId="FooterChar">
    <w:name w:val="Footer Char"/>
    <w:basedOn w:val="DefaultParagraphFont"/>
    <w:link w:val="Footer"/>
    <w:uiPriority w:val="99"/>
    <w:rsid w:val="00FB2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2896</Words>
  <Characters>16513</Characters>
  <Application>Microsoft Office Word</Application>
  <DocSecurity>0</DocSecurity>
  <Lines>137</Lines>
  <Paragraphs>38</Paragraphs>
  <ScaleCrop>false</ScaleCrop>
  <Company/>
  <LinksUpToDate>false</LinksUpToDate>
  <CharactersWithSpaces>19371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Administrator</cp:lastModifiedBy>
  <cp:revision>10</cp:revision>
  <cp:lastPrinted>2026-08-14T07:29:00Z</cp:lastPrinted>
  <dcterms:created xsi:type="dcterms:W3CDTF">2026-08-14T07:22:00Z</dcterms:created>
  <dcterms:modified xsi:type="dcterms:W3CDTF">2026-08-14T07:46:00Z</dcterms:modified>
</cp:coreProperties>
</file>