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9C7E" w14:textId="77777777" w:rsidR="00E46667" w:rsidRPr="0062592D" w:rsidRDefault="00E46667">
      <w:pPr>
        <w:spacing w:after="200"/>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7"/>
        <w:gridCol w:w="6998"/>
      </w:tblGrid>
      <w:tr w:rsidR="0062592D" w:rsidRPr="00244E65" w14:paraId="361F2ADD" w14:textId="77777777" w:rsidTr="0062592D">
        <w:tc>
          <w:tcPr>
            <w:tcW w:w="6997" w:type="dxa"/>
          </w:tcPr>
          <w:p w14:paraId="59DF341E" w14:textId="77777777" w:rsidR="0062592D" w:rsidRPr="0062592D" w:rsidRDefault="0062592D" w:rsidP="0062592D">
            <w:pPr>
              <w:jc w:val="center"/>
              <w:rPr>
                <w:sz w:val="28"/>
                <w:szCs w:val="28"/>
              </w:rPr>
            </w:pPr>
            <w:r w:rsidRPr="0062592D">
              <w:rPr>
                <w:b/>
                <w:bCs/>
                <w:sz w:val="28"/>
                <w:szCs w:val="28"/>
              </w:rPr>
              <w:t>ỦY BAN NHÂN DÂN</w:t>
            </w:r>
          </w:p>
          <w:p w14:paraId="2E54C6D1" w14:textId="62DF3937" w:rsidR="0062592D" w:rsidRPr="0062592D" w:rsidRDefault="0062592D" w:rsidP="0062592D">
            <w:pPr>
              <w:jc w:val="center"/>
              <w:rPr>
                <w:b/>
                <w:bCs/>
                <w:sz w:val="28"/>
                <w:szCs w:val="28"/>
                <w:lang w:val="vi-VN"/>
              </w:rPr>
            </w:pPr>
            <w:r w:rsidRPr="0062592D">
              <w:rPr>
                <w:b/>
                <w:bCs/>
                <w:sz w:val="28"/>
                <w:szCs w:val="28"/>
              </w:rPr>
              <w:t>TỈNH AN GIANG</w:t>
            </w:r>
          </w:p>
        </w:tc>
        <w:tc>
          <w:tcPr>
            <w:tcW w:w="6998" w:type="dxa"/>
          </w:tcPr>
          <w:p w14:paraId="0347D9B5" w14:textId="77777777" w:rsidR="0062592D" w:rsidRPr="00244E65" w:rsidRDefault="0062592D" w:rsidP="0062592D">
            <w:pPr>
              <w:jc w:val="center"/>
              <w:rPr>
                <w:sz w:val="28"/>
                <w:szCs w:val="28"/>
                <w:lang w:val="vi-VN"/>
              </w:rPr>
            </w:pPr>
            <w:r w:rsidRPr="00244E65">
              <w:rPr>
                <w:b/>
                <w:bCs/>
                <w:sz w:val="28"/>
                <w:szCs w:val="28"/>
                <w:lang w:val="vi-VN"/>
              </w:rPr>
              <w:t>CỘNG HÒA XÃ HỘI CHỦ NGHĨA VIỆT NAM</w:t>
            </w:r>
          </w:p>
          <w:p w14:paraId="055C0457" w14:textId="7FF9116B" w:rsidR="0062592D" w:rsidRPr="0062592D" w:rsidRDefault="0062592D" w:rsidP="0062592D">
            <w:pPr>
              <w:jc w:val="center"/>
              <w:rPr>
                <w:b/>
                <w:bCs/>
                <w:sz w:val="28"/>
                <w:szCs w:val="28"/>
                <w:lang w:val="vi-VN"/>
              </w:rPr>
            </w:pPr>
            <w:r w:rsidRPr="00244E65">
              <w:rPr>
                <w:b/>
                <w:bCs/>
                <w:sz w:val="28"/>
                <w:szCs w:val="28"/>
                <w:lang w:val="vi-VN"/>
              </w:rPr>
              <w:t>Độc lập - Tự do - Hạnh phúc</w:t>
            </w:r>
          </w:p>
        </w:tc>
      </w:tr>
      <w:tr w:rsidR="0062592D" w:rsidRPr="0062592D" w14:paraId="21B2982F" w14:textId="77777777" w:rsidTr="0062592D">
        <w:tc>
          <w:tcPr>
            <w:tcW w:w="6997" w:type="dxa"/>
          </w:tcPr>
          <w:p w14:paraId="64BC2F08" w14:textId="6FD7ABA3" w:rsidR="0062592D" w:rsidRPr="0062592D" w:rsidRDefault="00B0280C" w:rsidP="0062592D">
            <w:pPr>
              <w:jc w:val="center"/>
              <w:rPr>
                <w:b/>
                <w:bCs/>
                <w:sz w:val="28"/>
                <w:szCs w:val="28"/>
                <w:lang w:val="vi-VN"/>
              </w:rPr>
            </w:pPr>
            <w:r>
              <w:rPr>
                <w:b/>
                <w:bCs/>
                <w:noProof/>
                <w:sz w:val="28"/>
                <w:szCs w:val="28"/>
                <w:lang w:val="vi-VN"/>
              </w:rPr>
              <mc:AlternateContent>
                <mc:Choice Requires="wps">
                  <w:drawing>
                    <wp:anchor distT="0" distB="0" distL="114300" distR="114300" simplePos="0" relativeHeight="251659264" behindDoc="0" locked="0" layoutInCell="1" allowOverlap="1" wp14:anchorId="3FE07989" wp14:editId="1EDEA2A7">
                      <wp:simplePos x="0" y="0"/>
                      <wp:positionH relativeFrom="column">
                        <wp:posOffset>1650928</wp:posOffset>
                      </wp:positionH>
                      <wp:positionV relativeFrom="paragraph">
                        <wp:posOffset>9031</wp:posOffset>
                      </wp:positionV>
                      <wp:extent cx="948267" cy="0"/>
                      <wp:effectExtent l="0" t="0" r="17145" b="12700"/>
                      <wp:wrapNone/>
                      <wp:docPr id="1222040465" name="Straight Connector 1"/>
                      <wp:cNvGraphicFramePr/>
                      <a:graphic xmlns:a="http://schemas.openxmlformats.org/drawingml/2006/main">
                        <a:graphicData uri="http://schemas.microsoft.com/office/word/2010/wordprocessingShape">
                          <wps:wsp>
                            <wps:cNvCnPr/>
                            <wps:spPr>
                              <a:xfrm>
                                <a:off x="0" y="0"/>
                                <a:ext cx="9482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79691E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0pt,.7pt" to="20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I+mQEAAIcDAAAOAAAAZHJzL2Uyb0RvYy54bWysU9uO0zAQfUfiHyy/06QVWpa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" strokecolor="black [3200]" strokeweight=".5pt">
                      <v:stroke joinstyle="miter"/>
                    </v:line>
                  </w:pict>
                </mc:Fallback>
              </mc:AlternateContent>
            </w:r>
          </w:p>
        </w:tc>
        <w:tc>
          <w:tcPr>
            <w:tcW w:w="6998" w:type="dxa"/>
          </w:tcPr>
          <w:p w14:paraId="22654270" w14:textId="52D73EB7" w:rsidR="0062592D" w:rsidRPr="0062592D" w:rsidRDefault="00B0280C" w:rsidP="0062592D">
            <w:pPr>
              <w:spacing w:before="120"/>
              <w:jc w:val="center"/>
              <w:rPr>
                <w:b/>
                <w:bCs/>
                <w:i/>
                <w:iCs/>
                <w:sz w:val="28"/>
                <w:szCs w:val="28"/>
                <w:lang w:val="vi-VN"/>
              </w:rPr>
            </w:pPr>
            <w:r>
              <w:rPr>
                <w:i/>
                <w:iCs/>
                <w:noProof/>
                <w:sz w:val="28"/>
                <w:szCs w:val="28"/>
              </w:rPr>
              <mc:AlternateContent>
                <mc:Choice Requires="wps">
                  <w:drawing>
                    <wp:anchor distT="0" distB="0" distL="114300" distR="114300" simplePos="0" relativeHeight="251660288" behindDoc="0" locked="0" layoutInCell="1" allowOverlap="1" wp14:anchorId="268DD397" wp14:editId="11B0EA97">
                      <wp:simplePos x="0" y="0"/>
                      <wp:positionH relativeFrom="column">
                        <wp:posOffset>1090295</wp:posOffset>
                      </wp:positionH>
                      <wp:positionV relativeFrom="paragraph">
                        <wp:posOffset>7761</wp:posOffset>
                      </wp:positionV>
                      <wp:extent cx="2122311" cy="0"/>
                      <wp:effectExtent l="0" t="0" r="0" b="0"/>
                      <wp:wrapNone/>
                      <wp:docPr id="1557143615" name="Straight Connector 2"/>
                      <wp:cNvGraphicFramePr/>
                      <a:graphic xmlns:a="http://schemas.openxmlformats.org/drawingml/2006/main">
                        <a:graphicData uri="http://schemas.microsoft.com/office/word/2010/wordprocessingShape">
                          <wps:wsp>
                            <wps:cNvCnPr/>
                            <wps:spPr>
                              <a:xfrm>
                                <a:off x="0" y="0"/>
                                <a:ext cx="21223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0F98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5.85pt,.6pt" to="252.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" strokecolor="black [3200]" strokeweight=".5pt">
                      <v:stroke joinstyle="miter"/>
                    </v:line>
                  </w:pict>
                </mc:Fallback>
              </mc:AlternateContent>
            </w:r>
            <w:r w:rsidR="0062592D" w:rsidRPr="0062592D">
              <w:rPr>
                <w:i/>
                <w:iCs/>
                <w:sz w:val="28"/>
                <w:szCs w:val="28"/>
              </w:rPr>
              <w:t>An Giang, ngày … tháng … năm 2026</w:t>
            </w:r>
          </w:p>
        </w:tc>
      </w:tr>
    </w:tbl>
    <w:p w14:paraId="1E36F919" w14:textId="77777777" w:rsidR="0062592D" w:rsidRDefault="0062592D">
      <w:pPr>
        <w:spacing w:before="200" w:after="40"/>
        <w:jc w:val="center"/>
        <w:rPr>
          <w:b/>
          <w:bCs/>
          <w:sz w:val="24"/>
          <w:szCs w:val="24"/>
          <w:lang w:val="vi-VN"/>
        </w:rPr>
      </w:pPr>
    </w:p>
    <w:p w14:paraId="3A883FE7" w14:textId="4238F5B5" w:rsidR="00E46667" w:rsidRPr="00244E65" w:rsidRDefault="00000000" w:rsidP="0062592D">
      <w:pPr>
        <w:spacing w:before="120" w:after="120"/>
        <w:jc w:val="center"/>
        <w:rPr>
          <w:sz w:val="28"/>
          <w:szCs w:val="28"/>
          <w:lang w:val="vi-VN"/>
        </w:rPr>
      </w:pPr>
      <w:r w:rsidRPr="00244E65">
        <w:rPr>
          <w:b/>
          <w:bCs/>
          <w:sz w:val="28"/>
          <w:szCs w:val="28"/>
          <w:lang w:val="vi-VN"/>
        </w:rPr>
        <w:t>BẢN SO SÁNH, THUYẾT MINH DỰ THẢO NGHỊ QUYẾT QUY ĐỊNH CHÍNH SÁCH HỖ TRỢ ỨNG DỤNG,</w:t>
      </w:r>
    </w:p>
    <w:p w14:paraId="18084841" w14:textId="2C93E1B5" w:rsidR="00E46667" w:rsidRDefault="00000000" w:rsidP="0062592D">
      <w:pPr>
        <w:spacing w:before="120" w:after="120"/>
        <w:jc w:val="center"/>
        <w:rPr>
          <w:b/>
          <w:bCs/>
          <w:sz w:val="28"/>
          <w:szCs w:val="28"/>
          <w:lang w:val="vi-VN"/>
        </w:rPr>
      </w:pPr>
      <w:r w:rsidRPr="00244E65">
        <w:rPr>
          <w:b/>
          <w:bCs/>
          <w:sz w:val="28"/>
          <w:szCs w:val="28"/>
          <w:lang w:val="vi-VN"/>
        </w:rPr>
        <w:t xml:space="preserve">CHUYỂN GIAO VÀ ĐỔI MỚI CÔNG NGHỆ TRÊN ĐỊA BÀN TỈNH AN GIANG GIAI ĐOẠN 2026 </w:t>
      </w:r>
      <w:r w:rsidR="00842D11" w:rsidRPr="00244E65">
        <w:rPr>
          <w:b/>
          <w:bCs/>
          <w:sz w:val="28"/>
          <w:szCs w:val="28"/>
          <w:lang w:val="vi-VN"/>
        </w:rPr>
        <w:t>–</w:t>
      </w:r>
      <w:r w:rsidRPr="00244E65">
        <w:rPr>
          <w:b/>
          <w:bCs/>
          <w:sz w:val="28"/>
          <w:szCs w:val="28"/>
          <w:lang w:val="vi-VN"/>
        </w:rPr>
        <w:t xml:space="preserve"> 2030</w:t>
      </w:r>
    </w:p>
    <w:p w14:paraId="3F288DCD" w14:textId="77777777" w:rsidR="00842D11" w:rsidRPr="00842D11" w:rsidRDefault="00842D11" w:rsidP="0062592D">
      <w:pPr>
        <w:spacing w:before="120" w:after="120"/>
        <w:jc w:val="center"/>
        <w:rPr>
          <w:sz w:val="28"/>
          <w:szCs w:val="28"/>
          <w:lang w:val="vi-VN"/>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6"/>
        <w:gridCol w:w="4253"/>
        <w:gridCol w:w="5811"/>
      </w:tblGrid>
      <w:tr w:rsidR="0062592D" w:rsidRPr="0062592D" w14:paraId="5CCF5956"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264D0C" w14:textId="337278B0" w:rsidR="0062592D" w:rsidRPr="00244E65" w:rsidRDefault="0062592D" w:rsidP="000B6335">
            <w:pPr>
              <w:spacing w:before="120" w:after="120"/>
              <w:jc w:val="center"/>
              <w:rPr>
                <w:sz w:val="28"/>
                <w:szCs w:val="28"/>
                <w:lang w:val="vi-VN"/>
              </w:rPr>
            </w:pPr>
            <w:r w:rsidRPr="00244E65">
              <w:rPr>
                <w:b/>
                <w:bCs/>
                <w:sz w:val="28"/>
                <w:szCs w:val="28"/>
                <w:lang w:val="vi-VN"/>
              </w:rPr>
              <w:t>QUY ĐỊNH PHÁP LUẬT HIỆN HÀNH</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66996F" w14:textId="498CB694" w:rsidR="0062592D" w:rsidRPr="0062592D" w:rsidRDefault="0062592D" w:rsidP="000B6335">
            <w:pPr>
              <w:spacing w:before="120" w:after="120"/>
              <w:jc w:val="center"/>
              <w:rPr>
                <w:sz w:val="28"/>
                <w:szCs w:val="28"/>
              </w:rPr>
            </w:pPr>
            <w:r w:rsidRPr="0062592D">
              <w:rPr>
                <w:b/>
                <w:bCs/>
                <w:sz w:val="28"/>
                <w:szCs w:val="28"/>
              </w:rPr>
              <w:t>DỰ THẢO VĂN BẢN</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18E329" w14:textId="36451FE9" w:rsidR="0062592D" w:rsidRPr="0062592D" w:rsidRDefault="0062592D" w:rsidP="000B6335">
            <w:pPr>
              <w:spacing w:before="120" w:after="120"/>
              <w:jc w:val="center"/>
              <w:rPr>
                <w:sz w:val="28"/>
                <w:szCs w:val="28"/>
              </w:rPr>
            </w:pPr>
            <w:r w:rsidRPr="0062592D">
              <w:rPr>
                <w:b/>
                <w:bCs/>
                <w:sz w:val="28"/>
                <w:szCs w:val="28"/>
              </w:rPr>
              <w:t>THUYẾT MINH</w:t>
            </w:r>
          </w:p>
        </w:tc>
      </w:tr>
      <w:tr w:rsidR="0062592D" w:rsidRPr="0062592D" w14:paraId="27114965" w14:textId="77777777" w:rsidTr="002E1290">
        <w:tc>
          <w:tcPr>
            <w:tcW w:w="14170"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5C5AB9" w14:textId="391DC2F1" w:rsidR="0062592D" w:rsidRPr="0062592D" w:rsidRDefault="0062592D" w:rsidP="000B6335">
            <w:pPr>
              <w:spacing w:before="120" w:after="120"/>
              <w:jc w:val="both"/>
              <w:rPr>
                <w:sz w:val="28"/>
                <w:szCs w:val="28"/>
              </w:rPr>
            </w:pPr>
            <w:r w:rsidRPr="0062592D">
              <w:rPr>
                <w:b/>
                <w:bCs/>
                <w:sz w:val="28"/>
                <w:szCs w:val="28"/>
              </w:rPr>
              <w:t>A. DỰ THẢO NGHỊ QUYẾT (03 ĐIỀU)</w:t>
            </w:r>
          </w:p>
        </w:tc>
      </w:tr>
      <w:tr w:rsidR="00244E65" w:rsidRPr="0062592D" w14:paraId="5FF369EA"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CDF583" w14:textId="1D291223" w:rsidR="00244E65" w:rsidRPr="00244E65" w:rsidRDefault="00244E65" w:rsidP="00244E65">
            <w:pPr>
              <w:spacing w:before="120" w:after="120"/>
              <w:jc w:val="both"/>
              <w:rPr>
                <w:sz w:val="28"/>
                <w:szCs w:val="28"/>
              </w:rPr>
            </w:pPr>
            <w:r w:rsidRPr="00244E65">
              <w:rPr>
                <w:sz w:val="28"/>
                <w:szCs w:val="28"/>
              </w:rPr>
              <w:t>Điểm b khoản 1 Điều 15 Luật số 72/2025/QH15; điểm c khoản 1 Điều 21 Luật số 64/2025/QH15 (thẩm quyền Hội đồng nhân dân tỉnh quyết định chính sách, biện pháp đặc thù phát triển kinh tế - xã hội).</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50A7BD" w14:textId="4366CEEF" w:rsidR="00244E65" w:rsidRPr="00244E65" w:rsidRDefault="00244E65" w:rsidP="00244E65">
            <w:pPr>
              <w:spacing w:before="120" w:after="120"/>
              <w:jc w:val="both"/>
              <w:rPr>
                <w:sz w:val="28"/>
                <w:szCs w:val="28"/>
              </w:rPr>
            </w:pPr>
            <w:r w:rsidRPr="00244E65">
              <w:rPr>
                <w:sz w:val="28"/>
                <w:szCs w:val="28"/>
              </w:rPr>
              <w:t>Điều 1. Ban hành Quy định</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3FCEF5" w14:textId="38BB4CFB" w:rsidR="00244E65" w:rsidRPr="00244E65" w:rsidRDefault="00244E65" w:rsidP="00244E65">
            <w:pPr>
              <w:spacing w:before="120" w:after="120"/>
              <w:jc w:val="both"/>
              <w:rPr>
                <w:sz w:val="28"/>
                <w:szCs w:val="28"/>
              </w:rPr>
            </w:pPr>
            <w:r w:rsidRPr="00244E65">
              <w:rPr>
                <w:sz w:val="28"/>
                <w:szCs w:val="28"/>
              </w:rPr>
              <w:t>Xác định hình thức văn bản và thẩm quyền ban hành đúng quy định pháp luật hiện hành, làm căn cứ pháp lý trực tiếp để thi hành Quy định ban hành kèm theo.</w:t>
            </w:r>
          </w:p>
        </w:tc>
      </w:tr>
      <w:tr w:rsidR="00244E65" w:rsidRPr="0062592D" w14:paraId="7B2EAB3E"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3318D7" w14:textId="01CFCC7E" w:rsidR="00244E65" w:rsidRPr="00244E65" w:rsidRDefault="00244E65" w:rsidP="00244E65">
            <w:pPr>
              <w:spacing w:before="120" w:after="120"/>
              <w:jc w:val="both"/>
              <w:rPr>
                <w:sz w:val="28"/>
                <w:szCs w:val="28"/>
              </w:rPr>
            </w:pPr>
            <w:r w:rsidRPr="00244E65">
              <w:rPr>
                <w:sz w:val="28"/>
                <w:szCs w:val="28"/>
              </w:rPr>
              <w:t>Kỹ thuật lập quy phổ biến đối với nghị quyết quy phạm pháp luật của Hội đồng nhân dân cấp tỉnh.</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4CB9FB" w14:textId="2DE9C784" w:rsidR="00244E65" w:rsidRPr="00244E65" w:rsidRDefault="00244E65" w:rsidP="00244E65">
            <w:pPr>
              <w:spacing w:before="120" w:after="120"/>
              <w:jc w:val="both"/>
              <w:rPr>
                <w:sz w:val="28"/>
                <w:szCs w:val="28"/>
              </w:rPr>
            </w:pPr>
            <w:r w:rsidRPr="00244E65">
              <w:rPr>
                <w:sz w:val="28"/>
                <w:szCs w:val="28"/>
              </w:rPr>
              <w:t>Điều 2. Tổ chức thực hiện</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87D622" w14:textId="66C68E92" w:rsidR="00244E65" w:rsidRPr="00244E65" w:rsidRDefault="00244E65" w:rsidP="00244E65">
            <w:pPr>
              <w:spacing w:before="120" w:after="120"/>
              <w:jc w:val="both"/>
              <w:rPr>
                <w:sz w:val="28"/>
                <w:szCs w:val="28"/>
              </w:rPr>
            </w:pPr>
            <w:r w:rsidRPr="00244E65">
              <w:rPr>
                <w:sz w:val="28"/>
                <w:szCs w:val="28"/>
              </w:rPr>
              <w:t>Xác định phạm vi chủ thể có trách nhiệm thi hành Nghị quyết; trách nhiệm cụ thể của Ủy ban nhân dân tỉnh trong tổ chức thực hiện được quy định chi tiết tại Điều 10 Quy định ban hành kèm theo.</w:t>
            </w:r>
          </w:p>
        </w:tc>
      </w:tr>
      <w:tr w:rsidR="00244E65" w:rsidRPr="0062592D" w14:paraId="7B7E5759"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6C6202" w14:textId="59F29019" w:rsidR="00244E65" w:rsidRPr="00244E65" w:rsidRDefault="00244E65" w:rsidP="00244E65">
            <w:pPr>
              <w:spacing w:before="120" w:after="120"/>
              <w:jc w:val="both"/>
              <w:rPr>
                <w:sz w:val="28"/>
                <w:szCs w:val="28"/>
              </w:rPr>
            </w:pPr>
            <w:r w:rsidRPr="00244E65">
              <w:rPr>
                <w:sz w:val="28"/>
                <w:szCs w:val="28"/>
              </w:rPr>
              <w:lastRenderedPageBreak/>
              <w:t>Điều 53 Luật số 64/2025/QH15 (thời điểm có hiệu lực); Điều 55 Luật số 64/2025/QH15 (hiệu lực trở về trước của văn bản quy phạm pháp luật); Quyết định số 70/2026/QĐ-UBND ngày 18/7/2026 của Ủy ban nhân dân tỉnh.</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F8C391" w14:textId="0C002699" w:rsidR="00244E65" w:rsidRPr="00244E65" w:rsidRDefault="00244E65" w:rsidP="00244E65">
            <w:pPr>
              <w:spacing w:before="120" w:after="120"/>
              <w:jc w:val="both"/>
              <w:rPr>
                <w:sz w:val="28"/>
                <w:szCs w:val="28"/>
              </w:rPr>
            </w:pPr>
            <w:r w:rsidRPr="00244E65">
              <w:rPr>
                <w:sz w:val="28"/>
                <w:szCs w:val="28"/>
              </w:rPr>
              <w:t>Điều 3. Hiệu lực thi hành</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273472C" w14:textId="3EE4C97D" w:rsidR="00244E65" w:rsidRPr="00244E65" w:rsidRDefault="00244E65" w:rsidP="00244E65">
            <w:pPr>
              <w:spacing w:before="120" w:after="120"/>
              <w:jc w:val="both"/>
              <w:rPr>
                <w:sz w:val="28"/>
                <w:szCs w:val="28"/>
                <w:lang w:val="vi-VN"/>
              </w:rPr>
            </w:pPr>
            <w:r w:rsidRPr="00244E65">
              <w:rPr>
                <w:sz w:val="28"/>
                <w:szCs w:val="28"/>
              </w:rPr>
              <w:t xml:space="preserve">Thời điểm có hiệu lực bảo đảm khoảng thời gian tối thiểu theo quy định tại Điều 53 Luật số 64/2025/QH15. Nghị quyết không quy định hiệu lực trở về trước theo Điều 55 Luật số 64/2025/QH15, do chính sách hỗ trợ chỉ áp dụng đối với nhiệm vụ, hoạt động phát sinh kể từ thời điểm Nghị quyết có hiệu lực, không thuộc trường hợp thật cần thiết phải quy định hiệu lực trở về trước. Chính sách hỗ trợ giai đoạn trước đã được Ủy ban nhân dân tỉnh bãi bỏ bằng Quyết định số 70/2026/QĐ-UBND ngày 18/7/2026 (hiệu lực từ 28/7/2026), đúng thẩm quyền cơ quan tự bãi bỏ văn bản do mình ban hành; do đó Nghị quyết không cần quy định thêm điều khoản chuyển tiếp. </w:t>
            </w:r>
          </w:p>
        </w:tc>
      </w:tr>
      <w:tr w:rsidR="0062592D" w:rsidRPr="0062592D" w14:paraId="144ECBF6" w14:textId="77777777" w:rsidTr="0084328D">
        <w:tc>
          <w:tcPr>
            <w:tcW w:w="14170"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6F20EB" w14:textId="6D052D12" w:rsidR="0062592D" w:rsidRPr="0062592D" w:rsidRDefault="0062592D" w:rsidP="000B6335">
            <w:pPr>
              <w:spacing w:before="120" w:after="120"/>
              <w:jc w:val="both"/>
              <w:rPr>
                <w:sz w:val="28"/>
                <w:szCs w:val="28"/>
              </w:rPr>
            </w:pPr>
            <w:r w:rsidRPr="0062592D">
              <w:rPr>
                <w:b/>
                <w:bCs/>
                <w:sz w:val="28"/>
                <w:szCs w:val="28"/>
              </w:rPr>
              <w:t>B. DỰ THẢO QUY ĐỊNH - CHƯƠNG I: QUY ĐỊNH CHUNG</w:t>
            </w:r>
          </w:p>
        </w:tc>
      </w:tr>
      <w:tr w:rsidR="00244E65" w:rsidRPr="0062592D" w14:paraId="08A1F396"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B154A4" w14:textId="4A4B0836" w:rsidR="00244E65" w:rsidRPr="00244E65" w:rsidRDefault="00244E65" w:rsidP="00244E65">
            <w:pPr>
              <w:spacing w:before="120" w:after="120"/>
              <w:jc w:val="both"/>
              <w:rPr>
                <w:sz w:val="28"/>
                <w:szCs w:val="28"/>
              </w:rPr>
            </w:pPr>
            <w:r w:rsidRPr="00244E65">
              <w:rPr>
                <w:sz w:val="28"/>
                <w:szCs w:val="28"/>
              </w:rPr>
              <w:t>Điều 1 Luật số 93/2025/QH15 (phạm vi điều chỉnh của Luật).</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090580" w14:textId="3F962C13" w:rsidR="00244E65" w:rsidRPr="00244E65" w:rsidRDefault="00244E65" w:rsidP="00244E65">
            <w:pPr>
              <w:spacing w:before="120" w:after="120"/>
              <w:jc w:val="both"/>
              <w:rPr>
                <w:sz w:val="28"/>
                <w:szCs w:val="28"/>
              </w:rPr>
            </w:pPr>
            <w:r w:rsidRPr="00244E65">
              <w:rPr>
                <w:sz w:val="28"/>
                <w:szCs w:val="28"/>
              </w:rPr>
              <w:t>Điều 1. Phạm vi điều chỉnh</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24C4E2" w14:textId="604967C0" w:rsidR="00244E65" w:rsidRPr="00244E65" w:rsidRDefault="00244E65" w:rsidP="00244E65">
            <w:pPr>
              <w:spacing w:before="120" w:after="120"/>
              <w:jc w:val="both"/>
              <w:rPr>
                <w:sz w:val="28"/>
                <w:szCs w:val="28"/>
              </w:rPr>
            </w:pPr>
            <w:r w:rsidRPr="00244E65">
              <w:rPr>
                <w:sz w:val="28"/>
                <w:szCs w:val="28"/>
              </w:rPr>
              <w:t>Xác định phạm vi điều chỉnh cụ thể của Quy định, thống nhất với phạm vi điều chỉnh chung của Luật Khoa học, Công nghệ và Đổi mới sáng tạo, bảo đảm không chồng chéo, trùng lặp với quy định của Luật.</w:t>
            </w:r>
          </w:p>
        </w:tc>
      </w:tr>
      <w:tr w:rsidR="00244E65" w:rsidRPr="0062592D" w14:paraId="0529B518"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0A8108" w14:textId="4D017813" w:rsidR="00244E65" w:rsidRPr="00244E65" w:rsidRDefault="00244E65" w:rsidP="00244E65">
            <w:pPr>
              <w:spacing w:before="120" w:after="120"/>
              <w:jc w:val="both"/>
              <w:rPr>
                <w:sz w:val="28"/>
                <w:szCs w:val="28"/>
              </w:rPr>
            </w:pPr>
            <w:r w:rsidRPr="00244E65">
              <w:rPr>
                <w:sz w:val="28"/>
                <w:szCs w:val="28"/>
              </w:rPr>
              <w:t>Điều 34, khoản 1 Điều 37 Luật số 93/2025/QH15; Điều 43 Luật Chuyển giao công nghệ.</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04EAF1" w14:textId="53367DFD" w:rsidR="00244E65" w:rsidRPr="00244E65" w:rsidRDefault="00244E65" w:rsidP="00244E65">
            <w:pPr>
              <w:spacing w:before="120" w:after="120"/>
              <w:jc w:val="both"/>
              <w:rPr>
                <w:sz w:val="28"/>
                <w:szCs w:val="28"/>
              </w:rPr>
            </w:pPr>
            <w:r w:rsidRPr="00244E65">
              <w:rPr>
                <w:sz w:val="28"/>
                <w:szCs w:val="28"/>
              </w:rPr>
              <w:t xml:space="preserve">Điều 2. Đối tượng áp dụng 1. Doanh nghiệp, doanh nghiệp KH&amp;CN, hợp tác xã, tổ chức KH&amp;CN. 2. Tổ chức ngoài công lập. 3. Tổ chức trung gian </w:t>
            </w:r>
            <w:r w:rsidRPr="00244E65">
              <w:rPr>
                <w:sz w:val="28"/>
                <w:szCs w:val="28"/>
              </w:rPr>
              <w:lastRenderedPageBreak/>
              <w:t xml:space="preserve">thị trường KH&amp;CN. 4. Các đối tượng trên gọi chung là </w:t>
            </w:r>
            <w:r>
              <w:rPr>
                <w:sz w:val="28"/>
                <w:szCs w:val="28"/>
              </w:rPr>
              <w:t>“</w:t>
            </w:r>
            <w:r w:rsidRPr="00244E65">
              <w:rPr>
                <w:sz w:val="28"/>
                <w:szCs w:val="28"/>
              </w:rPr>
              <w:t>tổ chức</w:t>
            </w:r>
            <w:r>
              <w:rPr>
                <w:sz w:val="28"/>
                <w:szCs w:val="28"/>
              </w:rPr>
              <w:t>”</w:t>
            </w:r>
            <w:r w:rsidRPr="00244E65">
              <w:rPr>
                <w:sz w:val="28"/>
                <w:szCs w:val="28"/>
              </w:rPr>
              <w:t>.</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B613FE" w14:textId="46769339" w:rsidR="00244E65" w:rsidRPr="00244E65" w:rsidRDefault="00244E65" w:rsidP="00244E65">
            <w:pPr>
              <w:spacing w:before="120" w:after="120"/>
              <w:jc w:val="both"/>
              <w:rPr>
                <w:sz w:val="28"/>
                <w:szCs w:val="28"/>
                <w:lang w:val="vi-VN"/>
              </w:rPr>
            </w:pPr>
            <w:r w:rsidRPr="00244E65">
              <w:rPr>
                <w:sz w:val="28"/>
                <w:szCs w:val="28"/>
              </w:rPr>
              <w:lastRenderedPageBreak/>
              <w:t xml:space="preserve">Xác định 03 nhóm chủ thể được thụ hưởng chính sách, tương ứng với các chủ thể của hệ thống đổi mới sáng tạo theo Điều 34, khoản 1 Điều 37 Luật số 93/2025/QH15 và tổ chức trung gian của thị trường khoa học và công nghệ theo Điều 43 Luật </w:t>
            </w:r>
            <w:r w:rsidRPr="00244E65">
              <w:rPr>
                <w:sz w:val="28"/>
                <w:szCs w:val="28"/>
              </w:rPr>
              <w:lastRenderedPageBreak/>
              <w:t xml:space="preserve">Chuyển giao công nghệ; khoản 4 quy định thuật ngữ gọi chung là </w:t>
            </w:r>
            <w:r>
              <w:rPr>
                <w:sz w:val="28"/>
                <w:szCs w:val="28"/>
              </w:rPr>
              <w:t>“</w:t>
            </w:r>
            <w:r w:rsidRPr="00244E65">
              <w:rPr>
                <w:sz w:val="28"/>
                <w:szCs w:val="28"/>
              </w:rPr>
              <w:t>tổ chức</w:t>
            </w:r>
            <w:r>
              <w:rPr>
                <w:sz w:val="28"/>
                <w:szCs w:val="28"/>
              </w:rPr>
              <w:t>”</w:t>
            </w:r>
            <w:r w:rsidRPr="00244E65">
              <w:rPr>
                <w:sz w:val="28"/>
                <w:szCs w:val="28"/>
              </w:rPr>
              <w:t xml:space="preserve"> để bảo đảm ngắn gọn, chính xác trong toàn văn Quy định; cá nhân không phải là đối tượng thụ hưởng độc lập theo chính sách này.</w:t>
            </w:r>
          </w:p>
        </w:tc>
      </w:tr>
      <w:tr w:rsidR="00244E65" w:rsidRPr="0062592D" w14:paraId="65C00E5E"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150794" w14:textId="4570C5B0" w:rsidR="00244E65" w:rsidRPr="00244E65" w:rsidRDefault="00244E65" w:rsidP="00244E65">
            <w:pPr>
              <w:spacing w:before="120" w:after="120"/>
              <w:jc w:val="both"/>
              <w:rPr>
                <w:sz w:val="28"/>
                <w:szCs w:val="28"/>
              </w:rPr>
            </w:pPr>
            <w:r w:rsidRPr="00244E65">
              <w:rPr>
                <w:sz w:val="28"/>
                <w:szCs w:val="28"/>
              </w:rPr>
              <w:lastRenderedPageBreak/>
              <w:t>Điểm c khoản 1 Điều 21 Luật số 64/2025/QH15 (thẩm quyền quyết định chính sách đặc thù); Điều 10, Điều 11 Luật Chuyển giao công nghệ (Danh mục hạn chế, cấm chuyển giao); Điều 58, 59, 60 Nghị định số 268/2025/NĐ-CP.</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D07289" w14:textId="0DD33AD9" w:rsidR="00244E65" w:rsidRPr="00244E65" w:rsidRDefault="00244E65" w:rsidP="00244E65">
            <w:pPr>
              <w:spacing w:before="120" w:after="120"/>
              <w:jc w:val="both"/>
              <w:rPr>
                <w:sz w:val="28"/>
                <w:szCs w:val="28"/>
              </w:rPr>
            </w:pPr>
            <w:r w:rsidRPr="00244E65">
              <w:rPr>
                <w:sz w:val="28"/>
                <w:szCs w:val="28"/>
              </w:rPr>
              <w:t>Điều 3. Nguyên tắc hỗ trợ (05 khoản) 1. Trọng tâm, trọng điểm, đúng địa bàn. 2. Gắn địa chỉ ứng dụng cụ thể. 3. Công khai, minh bạch; sử dụng kinh phí đúng mục đích, hạch toán, quyết toán theo quy định. 4. Mỗi tổ chức chỉ được hỗ trợ một lần trong cả giai đoạn (không áp dụng đối với nội dung hỗ trợ phát triển thị trường KH&amp;CN tại Điều 8), không vượt quá 2.000 triệu đồng/tổ chức. 5. Loại trừ công nghệ hạn chế, cấm chuyển giao.</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C6CD56" w14:textId="42109AED" w:rsidR="00244E65" w:rsidRPr="00244E65" w:rsidRDefault="00244E65" w:rsidP="00244E65">
            <w:pPr>
              <w:spacing w:before="120" w:after="120"/>
              <w:jc w:val="both"/>
              <w:rPr>
                <w:sz w:val="28"/>
                <w:szCs w:val="28"/>
              </w:rPr>
            </w:pPr>
            <w:r w:rsidRPr="00244E65">
              <w:rPr>
                <w:sz w:val="28"/>
                <w:szCs w:val="28"/>
              </w:rPr>
              <w:t>Nguyên tắc hỗ trợ làm cơ sở áp dụng thống nhất cho toàn bộ nội dung, mức hỗ trợ tại Chương II, thuộc thẩm quyền quyết định chính sách đặc thù của Hội đồng nhân dân tỉnh theo điểm c khoản 1 Điều 21 Luật số 64/2025/QH15. Khoản 4 giới hạn mức hỗ trợ tối đa 2.000 triệu đồng/tổ chức trong cả giai đoạn nhằm sử dụng hiệu quả, mở rộng phạm vi thụ hưởng ngân sách nhà nước; loại trừ áp dụng đối với nội dung hỗ trợ phát triển thị trường khoa học và công nghệ tại Điều 8, do đây là hoạt động hỗ trợ thường xuyên, tổ chức định kỳ hằng năm theo Điều 58, Điều 59, Điều 60 Nghị định số 268/2025/NĐ-CP, khác bản chất với hỗ trợ nhiệm vụ khoa học và công nghệ theo từng lần thực hiện tại Điều 6, Điều 7. Khoản 5 bảo đảm phù hợp Điều 10, Điều 11 Luật Chuyển giao công nghệ về công nghệ hạn chế, cấm chuyển giao.</w:t>
            </w:r>
          </w:p>
        </w:tc>
      </w:tr>
      <w:tr w:rsidR="00244E65" w:rsidRPr="0062592D" w14:paraId="7C3A508B"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F419D9" w14:textId="2ED00CEF" w:rsidR="00244E65" w:rsidRPr="00244E65" w:rsidRDefault="00244E65" w:rsidP="00244E65">
            <w:pPr>
              <w:spacing w:before="120" w:after="120"/>
              <w:jc w:val="both"/>
              <w:rPr>
                <w:sz w:val="28"/>
                <w:szCs w:val="28"/>
              </w:rPr>
            </w:pPr>
            <w:r w:rsidRPr="00244E65">
              <w:rPr>
                <w:sz w:val="28"/>
                <w:szCs w:val="28"/>
              </w:rPr>
              <w:t xml:space="preserve">Phụ lục I, II Quyết định số 21/2026/QĐ-TTg (Danh mục công nghệ chiến lược, sản phẩm công nghệ chiến lược); Nghị quyết số 57-NQ/TW ngày 22/12/2024; Điều 21 </w:t>
            </w:r>
            <w:r w:rsidRPr="00244E65">
              <w:rPr>
                <w:sz w:val="28"/>
                <w:szCs w:val="28"/>
              </w:rPr>
              <w:lastRenderedPageBreak/>
              <w:t>Luật số 93/2025/QH15 (thử nghiệm có kiểm soát); pháp luật về bảo vệ môi trường; pháp luật về sở hữu trí tuệ (nhãn hiệu chứng nhận, nhãn hiệu tập thể, chỉ dẫn địa lý).</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9055C7" w14:textId="7E7CF085" w:rsidR="00244E65" w:rsidRPr="00244E65" w:rsidRDefault="00244E65" w:rsidP="00244E65">
            <w:pPr>
              <w:spacing w:before="120" w:after="120"/>
              <w:jc w:val="both"/>
              <w:rPr>
                <w:sz w:val="28"/>
                <w:szCs w:val="28"/>
              </w:rPr>
            </w:pPr>
            <w:r w:rsidRPr="00244E65">
              <w:rPr>
                <w:sz w:val="28"/>
                <w:szCs w:val="28"/>
              </w:rPr>
              <w:lastRenderedPageBreak/>
              <w:t xml:space="preserve">Điều 4. Lĩnh vực và thứ tự ưu tiên hỗ trợ 1. 03 Nhóm theo thứ tự ưu tiên: Nhóm 1 (công nghệ chiến lược) &gt; Nhóm 2 (ngành có lợi thế của tỉnh) &gt; Nhóm 3 (lĩnh vực khác). 2. Tiêu chí </w:t>
            </w:r>
            <w:r w:rsidRPr="00244E65">
              <w:rPr>
                <w:sz w:val="28"/>
                <w:szCs w:val="28"/>
              </w:rPr>
              <w:lastRenderedPageBreak/>
              <w:t>ưu tiên khi vượt dự toán (04 điểm a - d): a) công nghệ xanh, môi trường; b) kinh tế tuần hoàn; c) sản phẩm mang nhãn hiệu chứng nhận/nhãn hiệu tập thể/chỉ dẫn địa lý An Giang, sản phẩm OCOP; d) doanh nghiệp nhỏ và vừa, hợp tác xã lần đầu tiếp nhận hỗ trợ.</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3772C2" w14:textId="7543B69D" w:rsidR="00244E65" w:rsidRPr="00244E65" w:rsidRDefault="00244E65" w:rsidP="00244E65">
            <w:pPr>
              <w:spacing w:before="120" w:after="120"/>
              <w:jc w:val="both"/>
              <w:rPr>
                <w:sz w:val="28"/>
                <w:szCs w:val="28"/>
              </w:rPr>
            </w:pPr>
            <w:r w:rsidRPr="00244E65">
              <w:rPr>
                <w:sz w:val="28"/>
                <w:szCs w:val="28"/>
              </w:rPr>
              <w:lastRenderedPageBreak/>
              <w:t xml:space="preserve">Việc phân nhóm, xác định thứ tự ưu tiên căn cứ Danh mục công nghệ chiến lược, sản phẩm công nghệ chiến lược ban hành kèm theo Quyết định số 21/2026/QĐ-TTg, cụ thể hóa chủ trương ưu tiên phát triển công nghệ chiến lược tại Nghị quyết số </w:t>
            </w:r>
            <w:r w:rsidRPr="00244E65">
              <w:rPr>
                <w:sz w:val="28"/>
                <w:szCs w:val="28"/>
              </w:rPr>
              <w:lastRenderedPageBreak/>
              <w:t>57-NQ/TW phù hợp thế mạnh của tỉnh. Khoản 2 quy định 04 tiêu chí ưu tiên xét chọn khi hồ sơ vượt dự toán trong cùng một Nhóm: điểm a, điểm b ưu tiên yếu tố bảo vệ môi trường, phát triển bền vững (công nghệ xanh, kinh tế tuần hoàn), phù hợp pháp luật về bảo vệ môi trường; điểm c ưu tiên sản phẩm mang nhãn hiệu chứng nhận, nhãn hiệu tập thể, chỉ dẫn địa lý của tỉnh An Giang và sản phẩm OCOP, được cấp văn bằng bảo hộ hoặc được trao quyền sử dụng theo pháp luật về sở hữu trí tuệ, gắn kết chính sách hỗ trợ công nghệ với phát triển tài sản trí tuệ, thương hiệu sản phẩm địa phương; điểm d ưu tiên mở rộng phạm vi thụ hưởng cho doanh nghiệp nhỏ và vừa, hợp tác xã chưa từng tiếp nhận hỗ trợ.</w:t>
            </w:r>
          </w:p>
        </w:tc>
      </w:tr>
      <w:tr w:rsidR="00244E65" w:rsidRPr="0062592D" w14:paraId="7F35004D"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30DD0E" w14:textId="3C770C49" w:rsidR="00244E65" w:rsidRPr="00244E65" w:rsidRDefault="00244E65" w:rsidP="00244E65">
            <w:pPr>
              <w:spacing w:before="120" w:after="120"/>
              <w:jc w:val="both"/>
              <w:rPr>
                <w:sz w:val="28"/>
                <w:szCs w:val="28"/>
              </w:rPr>
            </w:pPr>
            <w:r w:rsidRPr="00244E65">
              <w:rPr>
                <w:sz w:val="28"/>
                <w:szCs w:val="28"/>
              </w:rPr>
              <w:lastRenderedPageBreak/>
              <w:t>Điều 9, Điều 10, Điều 11 Luật Chuyển giao công nghệ; Nghị định số 101/2026/NĐ-CP; pháp luật về xử lý vi phạm hành chính, pháp luật hình sự.</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19D45F7" w14:textId="4AA81942" w:rsidR="00244E65" w:rsidRPr="00244E65" w:rsidRDefault="00244E65" w:rsidP="00244E65">
            <w:pPr>
              <w:spacing w:before="120" w:after="120"/>
              <w:jc w:val="both"/>
              <w:rPr>
                <w:sz w:val="28"/>
                <w:szCs w:val="28"/>
              </w:rPr>
            </w:pPr>
            <w:r w:rsidRPr="00244E65">
              <w:rPr>
                <w:sz w:val="28"/>
                <w:szCs w:val="28"/>
              </w:rPr>
              <w:t>Điều 5. Điều kiện chung được hỗ trợ (05 khoản) 1. Điều kiện chung (05 điểm). 2. Điều kiện đặc thù Điều 6. 3. Điều kiện đặc thù Điều 7. 4. Trường hợp không được tham gia (04 điểm). 5. Xử lý nhiệm vụ thuộc cả Điều 6 và Điều 7.</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91F371" w14:textId="54576CCC" w:rsidR="00244E65" w:rsidRPr="00244E65" w:rsidRDefault="00244E65" w:rsidP="00244E65">
            <w:pPr>
              <w:spacing w:before="120" w:after="120"/>
              <w:jc w:val="both"/>
              <w:rPr>
                <w:sz w:val="28"/>
                <w:szCs w:val="28"/>
              </w:rPr>
            </w:pPr>
            <w:r w:rsidRPr="00244E65">
              <w:rPr>
                <w:sz w:val="28"/>
                <w:szCs w:val="28"/>
              </w:rPr>
              <w:t xml:space="preserve">Điều kiện được hỗ trợ quy định tập trung tại một Điều, áp dụng thống nhất cho nội dung tại Điều 6 và Điều 7, bảo đảm rõ ràng, dễ tra cứu, thực hiện. Điểm d khoản 1 xác định phần kinh phí đối ứng theo nguyên tắc </w:t>
            </w:r>
            <w:r>
              <w:rPr>
                <w:sz w:val="28"/>
                <w:szCs w:val="28"/>
              </w:rPr>
              <w:t>“</w:t>
            </w:r>
            <w:r w:rsidRPr="00244E65">
              <w:rPr>
                <w:sz w:val="28"/>
                <w:szCs w:val="28"/>
              </w:rPr>
              <w:t>phần kinh phí còn lại sau khi trừ mức hỗ trợ</w:t>
            </w:r>
            <w:r>
              <w:rPr>
                <w:sz w:val="28"/>
                <w:szCs w:val="28"/>
              </w:rPr>
              <w:t>”</w:t>
            </w:r>
            <w:r w:rsidRPr="00244E65">
              <w:rPr>
                <w:sz w:val="28"/>
                <w:szCs w:val="28"/>
              </w:rPr>
              <w:t xml:space="preserve">, áp dụng đúng trong mọi trường hợp mức hỗ trợ khác nhau (30% hoặc 50%) quy định tại Chương II. Khoản 3 dẫn chiếu Điều 9, Điều 10, Điều 11 Luật Chuyển giao công nghệ và Nghị định số 101/2026/NĐ-CP về điều kiện đối với công nghệ được chuyển giao, thủ tục thẩm định hợp đồng chuyển giao công nghệ. Khoản 5 bảo đảm thống nhất với nguyên tắc mỗi tổ chức chỉ được hỗ </w:t>
            </w:r>
            <w:r w:rsidRPr="00244E65">
              <w:rPr>
                <w:sz w:val="28"/>
                <w:szCs w:val="28"/>
              </w:rPr>
              <w:lastRenderedPageBreak/>
              <w:t>trợ một lần trong cả giai đoạn tại khoản 4 Điều 3 Quy định này.</w:t>
            </w:r>
          </w:p>
        </w:tc>
      </w:tr>
      <w:tr w:rsidR="0062592D" w:rsidRPr="0062592D" w14:paraId="2D66ED0B" w14:textId="77777777" w:rsidTr="00360445">
        <w:tc>
          <w:tcPr>
            <w:tcW w:w="14170"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D2E9F9" w14:textId="6040F7F8" w:rsidR="0062592D" w:rsidRPr="0062592D" w:rsidRDefault="0062592D" w:rsidP="000B6335">
            <w:pPr>
              <w:spacing w:before="120" w:after="120"/>
              <w:jc w:val="both"/>
              <w:rPr>
                <w:sz w:val="28"/>
                <w:szCs w:val="28"/>
              </w:rPr>
            </w:pPr>
            <w:r w:rsidRPr="0062592D">
              <w:rPr>
                <w:b/>
                <w:bCs/>
                <w:sz w:val="28"/>
                <w:szCs w:val="28"/>
              </w:rPr>
              <w:lastRenderedPageBreak/>
              <w:t>C. CHƯƠNG II: NỘI DUNG VÀ MỨC HỖ TRỢ</w:t>
            </w:r>
          </w:p>
        </w:tc>
      </w:tr>
      <w:tr w:rsidR="00244E65" w:rsidRPr="0062592D" w14:paraId="32C46420"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91409E" w14:textId="04EDE750" w:rsidR="00244E65" w:rsidRPr="00244E65" w:rsidRDefault="00244E65" w:rsidP="00244E65">
            <w:pPr>
              <w:spacing w:before="120" w:after="120"/>
              <w:jc w:val="both"/>
              <w:rPr>
                <w:sz w:val="28"/>
                <w:szCs w:val="28"/>
              </w:rPr>
            </w:pPr>
            <w:r w:rsidRPr="00244E65">
              <w:rPr>
                <w:sz w:val="28"/>
                <w:szCs w:val="28"/>
              </w:rPr>
              <w:t>Điều 10 Nghị định số 267/2025/NĐ-CP; Thông tư số 36/2025/TT-BKHCN; Quyết định số 21/2026/QĐ-TTg; Nghị quyết số 57-NQ/TW ngày 22/12/2024; Điều 31, Điều 32 Nghị định số 267/2025/NĐ-CP.</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68DADF" w14:textId="773E7DEF" w:rsidR="00244E65" w:rsidRPr="00244E65" w:rsidRDefault="00244E65" w:rsidP="00244E65">
            <w:pPr>
              <w:spacing w:before="120" w:after="120"/>
              <w:jc w:val="both"/>
              <w:rPr>
                <w:sz w:val="28"/>
                <w:szCs w:val="28"/>
              </w:rPr>
            </w:pPr>
            <w:r w:rsidRPr="00244E65">
              <w:rPr>
                <w:sz w:val="28"/>
                <w:szCs w:val="28"/>
              </w:rPr>
              <w:t>Điều 6. Hỗ trợ ứng dụng, chuyển giao và đổi mới công nghệ (05 khoản) 1. Nội dung. 2. Phương thức hỗ trợ. 3. Mức 30%/1.500 triệu đồng. 4. Công nghệ chiến lược: 50%/2.000 triệu đồng. 5. Duy trì kết quả tối thiểu 05 năm.</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A15EF2" w14:textId="3D9C6D92" w:rsidR="00244E65" w:rsidRPr="00244E65" w:rsidRDefault="00244E65" w:rsidP="00244E65">
            <w:pPr>
              <w:spacing w:before="120" w:after="120"/>
              <w:jc w:val="both"/>
              <w:rPr>
                <w:sz w:val="28"/>
                <w:szCs w:val="28"/>
              </w:rPr>
            </w:pPr>
            <w:r w:rsidRPr="00244E65">
              <w:rPr>
                <w:sz w:val="28"/>
                <w:szCs w:val="28"/>
              </w:rPr>
              <w:t>Mức hỗ trợ 30%, tối đa 1.500 triệu đồng/nhiệm vụ, được xác định trên cơ sở tham chiếu Chương trình đổi mới công nghệ quốc gia và mặt bằng chính sách của các tỉnh, thành phố có điều kiện tương đồng, phù hợp khả năng cân đối ngân sách của tỉnh. Khoản 4 quy định mức hỗ trợ ưu đãi hơn (50%, tối đa 2.000 triệu đồng/nhiệm vụ) đối với công nghệ, sản phẩm công nghệ chiến lược theo Quyết định số 21/2026/QĐ-TTg, thể chế hóa chủ trương ưu tiên phát triển công nghệ chiến lược tại Nghị quyết số 57-NQ/TW. Khoản 5 quy định thời hạn duy trì, khai thác kết quả tối thiểu 05 năm, thực hiện theo Điều 31, Điều 32 Nghị định số 267/2025/NĐ-CP về quyền quản lý, sử dụng, khai thác kết quả nhiệm vụ khoa học, công nghệ và đổi mới sáng tạo có sử dụng ngân sách nhà nước.</w:t>
            </w:r>
          </w:p>
        </w:tc>
      </w:tr>
      <w:tr w:rsidR="00244E65" w:rsidRPr="0062592D" w14:paraId="2D2A05E0"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41DCFE" w14:textId="4FD7B7B5" w:rsidR="00244E65" w:rsidRPr="00244E65" w:rsidRDefault="00244E65" w:rsidP="00244E65">
            <w:pPr>
              <w:spacing w:before="120" w:after="120"/>
              <w:jc w:val="both"/>
              <w:rPr>
                <w:sz w:val="28"/>
                <w:szCs w:val="28"/>
              </w:rPr>
            </w:pPr>
            <w:r w:rsidRPr="00244E65">
              <w:rPr>
                <w:sz w:val="28"/>
                <w:szCs w:val="28"/>
              </w:rPr>
              <w:t>Điều 9, 10, 11 Luật Chuyển giao công nghệ; Nghị định số 101/2026/NĐ-CP; Điều 21 Luật số 93/2025/QH15; Điều 31, 32, 33 Nghị định số 267/2025/NĐ-CP.</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C7CD0D" w14:textId="65CD7DB9" w:rsidR="00244E65" w:rsidRPr="00244E65" w:rsidRDefault="00244E65" w:rsidP="00244E65">
            <w:pPr>
              <w:spacing w:before="120" w:after="120"/>
              <w:jc w:val="both"/>
              <w:rPr>
                <w:sz w:val="28"/>
                <w:szCs w:val="28"/>
              </w:rPr>
            </w:pPr>
            <w:r w:rsidRPr="00244E65">
              <w:rPr>
                <w:sz w:val="28"/>
                <w:szCs w:val="28"/>
              </w:rPr>
              <w:t xml:space="preserve">Điều 7. Hỗ trợ sản xuất thử nghiệm và thương mại hóa kết quả nghiên cứu khoa học, phát triển công nghệ (04 khoản) 1. Nội dung. 2. Phương thức hỗ trợ. 3. Mức 30%/1.000 triệu </w:t>
            </w:r>
            <w:r w:rsidRPr="00244E65">
              <w:rPr>
                <w:sz w:val="28"/>
                <w:szCs w:val="28"/>
              </w:rPr>
              <w:lastRenderedPageBreak/>
              <w:t>đồng. 4. Duy trì kết quả tối thiểu 05 năm.</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1217DC" w14:textId="65D0C36F" w:rsidR="00244E65" w:rsidRPr="00244E65" w:rsidRDefault="00244E65" w:rsidP="00244E65">
            <w:pPr>
              <w:spacing w:before="120" w:after="120"/>
              <w:jc w:val="both"/>
              <w:rPr>
                <w:sz w:val="28"/>
                <w:szCs w:val="28"/>
              </w:rPr>
            </w:pPr>
            <w:r w:rsidRPr="00244E65">
              <w:rPr>
                <w:sz w:val="28"/>
                <w:szCs w:val="28"/>
              </w:rPr>
              <w:lastRenderedPageBreak/>
              <w:t xml:space="preserve">Nội dung hỗ trợ tập trung vào giai đoạn sản xuất thử nghiệm và thương mại hóa, tiếp nối quá trình ứng dụng, chuyển giao công nghệ tại Điều 6, thực hiện theo Điều 31, Điều 32, Điều 33 Nghị định số 267/2025/NĐ-CP về thương mại hóa kết quả nghiên cứu khoa học, phát triển công nghệ. Đối với nhiệm vụ thực hiện thông qua hợp đồng chuyển </w:t>
            </w:r>
            <w:r w:rsidRPr="00244E65">
              <w:rPr>
                <w:sz w:val="28"/>
                <w:szCs w:val="28"/>
              </w:rPr>
              <w:lastRenderedPageBreak/>
              <w:t>giao công nghệ, công nghệ được chuyển giao phải thuộc Danh mục công nghệ khuyến khích chuyển giao theo Điều 9 Luật Chuyển giao công nghệ, không thuộc Danh mục hạn chế hoặc cấm chuyển giao theo Điều 10, Điều 11 Luật này, và phải thực hiện thủ tục thẩm định hợp đồng theo Nghị định số 101/2026/NĐ-CP. Mức hỗ trợ 30%, tối đa 1.000 triệu đồng/nhiệm vụ, tương ứng mức độ rủi ro của giai đoạn sản xuất thử nghiệm, thấp hơn giai đoạn nghiên cứu, hoàn thiện công nghệ ban đầu tại Điều 6.</w:t>
            </w:r>
          </w:p>
        </w:tc>
      </w:tr>
      <w:tr w:rsidR="00244E65" w:rsidRPr="0062592D" w14:paraId="03D15595"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303522" w14:textId="65FF822C" w:rsidR="00244E65" w:rsidRPr="00244E65" w:rsidRDefault="00244E65" w:rsidP="00244E65">
            <w:pPr>
              <w:spacing w:before="120" w:after="120"/>
              <w:jc w:val="both"/>
              <w:rPr>
                <w:sz w:val="28"/>
                <w:szCs w:val="28"/>
              </w:rPr>
            </w:pPr>
            <w:r w:rsidRPr="00244E65">
              <w:rPr>
                <w:sz w:val="28"/>
                <w:szCs w:val="28"/>
              </w:rPr>
              <w:lastRenderedPageBreak/>
              <w:t>Thông tư số 38/2025/TT-BKHCN; Điều 58, Điều 59, Điều 60 Nghị định số 268/2025/NĐ-CP.</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7337E0" w14:textId="10117059" w:rsidR="00244E65" w:rsidRPr="00244E65" w:rsidRDefault="00244E65" w:rsidP="00244E65">
            <w:pPr>
              <w:spacing w:before="120" w:after="120"/>
              <w:jc w:val="both"/>
              <w:rPr>
                <w:sz w:val="28"/>
                <w:szCs w:val="28"/>
              </w:rPr>
            </w:pPr>
            <w:r w:rsidRPr="00244E65">
              <w:rPr>
                <w:sz w:val="28"/>
                <w:szCs w:val="28"/>
              </w:rPr>
              <w:t>Điều 8. Hỗ trợ phát triển thị trường khoa học và công nghệ (03 khoản) 1. Nội dung (03 điểm). 2. Phương thức hỗ trợ (02 điểm). 3. Mức hỗ trợ (02 điểm), trong đó điểm a cho phép tối đa 02 lần/năm/tổ chức.</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33585B" w14:textId="5C780178" w:rsidR="00244E65" w:rsidRPr="00244E65" w:rsidRDefault="00244E65" w:rsidP="00244E65">
            <w:pPr>
              <w:spacing w:before="120" w:after="120"/>
              <w:jc w:val="both"/>
              <w:rPr>
                <w:sz w:val="28"/>
                <w:szCs w:val="28"/>
              </w:rPr>
            </w:pPr>
            <w:r w:rsidRPr="00244E65">
              <w:rPr>
                <w:sz w:val="28"/>
                <w:szCs w:val="28"/>
              </w:rPr>
              <w:t>Nội dung, phương thức và mức hỗ trợ phát triển thị trường khoa học và công nghệ được xây dựng trên cơ sở Điều 58, Điều 59, Điều 60 Nghị định số 268/2025/NĐ-CP và Thông tư số 38/2025/TT-BKHCN. Do hoạt động xúc tiến, kết nối thị trường khoa học và công nghệ có tính chất thường xuyên, tổ chức định kỳ hằng năm, điểm a khoản 3 quy định mức hỗ trợ theo từng lượt tham gia, tối đa 02 lần/năm/tổ chức, phù hợp với việc loại trừ nội dung này khỏi nguyên tắc hỗ trợ một lần trong cả giai đoạn tại khoản 4 Điều 3 Quy định này.</w:t>
            </w:r>
          </w:p>
        </w:tc>
      </w:tr>
      <w:tr w:rsidR="0062592D" w:rsidRPr="0062592D" w14:paraId="0C7015D8" w14:textId="77777777" w:rsidTr="00CC731D">
        <w:tc>
          <w:tcPr>
            <w:tcW w:w="14170"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306A6F" w14:textId="3A66D756" w:rsidR="0062592D" w:rsidRPr="0062592D" w:rsidRDefault="0062592D" w:rsidP="000B6335">
            <w:pPr>
              <w:spacing w:before="120" w:after="120"/>
              <w:jc w:val="both"/>
              <w:rPr>
                <w:sz w:val="28"/>
                <w:szCs w:val="28"/>
              </w:rPr>
            </w:pPr>
            <w:r w:rsidRPr="0062592D">
              <w:rPr>
                <w:b/>
                <w:bCs/>
                <w:sz w:val="28"/>
                <w:szCs w:val="28"/>
              </w:rPr>
              <w:t>D. CHƯƠNG III: TỔ CHỨC THỰC HIỆN</w:t>
            </w:r>
          </w:p>
        </w:tc>
      </w:tr>
      <w:tr w:rsidR="00244E65" w:rsidRPr="0062592D" w14:paraId="45DE9225"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8F3F56" w14:textId="5DF4C1A4" w:rsidR="00244E65" w:rsidRPr="00244E65" w:rsidRDefault="00244E65" w:rsidP="00244E65">
            <w:pPr>
              <w:spacing w:before="120" w:after="120"/>
              <w:jc w:val="both"/>
              <w:rPr>
                <w:sz w:val="28"/>
                <w:szCs w:val="28"/>
              </w:rPr>
            </w:pPr>
            <w:r w:rsidRPr="00244E65">
              <w:rPr>
                <w:sz w:val="28"/>
                <w:szCs w:val="28"/>
              </w:rPr>
              <w:t xml:space="preserve">Luật Ngân sách nhà nước số 89/2025/QH15 (thẩm quyền quyết </w:t>
            </w:r>
            <w:r w:rsidRPr="00244E65">
              <w:rPr>
                <w:sz w:val="28"/>
                <w:szCs w:val="28"/>
              </w:rPr>
              <w:lastRenderedPageBreak/>
              <w:t>định dự toán ngân sách địa phương hằng năm).</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7DA03B" w14:textId="7F0FDF92" w:rsidR="00244E65" w:rsidRPr="00244E65" w:rsidRDefault="00244E65" w:rsidP="00244E65">
            <w:pPr>
              <w:spacing w:before="120" w:after="120"/>
              <w:jc w:val="both"/>
              <w:rPr>
                <w:sz w:val="28"/>
                <w:szCs w:val="28"/>
              </w:rPr>
            </w:pPr>
            <w:r w:rsidRPr="00244E65">
              <w:rPr>
                <w:sz w:val="28"/>
                <w:szCs w:val="28"/>
              </w:rPr>
              <w:lastRenderedPageBreak/>
              <w:t>Điều 9. Kinh phí thực hiện chính sách</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78D70A" w14:textId="7FD3B52E" w:rsidR="00244E65" w:rsidRPr="00244E65" w:rsidRDefault="00244E65" w:rsidP="00244E65">
            <w:pPr>
              <w:spacing w:before="120" w:after="120"/>
              <w:jc w:val="both"/>
              <w:rPr>
                <w:sz w:val="28"/>
                <w:szCs w:val="28"/>
              </w:rPr>
            </w:pPr>
            <w:r w:rsidRPr="00244E65">
              <w:rPr>
                <w:sz w:val="28"/>
                <w:szCs w:val="28"/>
              </w:rPr>
              <w:t xml:space="preserve">Nguồn kinh phí và trình tự lập, quyết định dự toán ngân sách hằng năm thực hiện đúng thẩm quyền, quy định của Luật Ngân sách nhà nước số </w:t>
            </w:r>
            <w:r w:rsidRPr="00244E65">
              <w:rPr>
                <w:sz w:val="28"/>
                <w:szCs w:val="28"/>
              </w:rPr>
              <w:lastRenderedPageBreak/>
              <w:t>89/2025/QH15, không ấn định trước tổng mức kinh phí cụ thể cho cả giai đoạn 2026 - 2030, bảo đảm phù hợp khả năng cân đối ngân sách địa phương theo từng năm; việc quản lý, sử dụng, thanh toán, quyết toán kinh phí thực hiện theo quy định của pháp luật về ngân sách nhà nước và pháp luật có liên quan.</w:t>
            </w:r>
          </w:p>
        </w:tc>
      </w:tr>
      <w:tr w:rsidR="00244E65" w:rsidRPr="0062592D" w14:paraId="103B3A9C" w14:textId="77777777" w:rsidTr="0062592D">
        <w:tc>
          <w:tcPr>
            <w:tcW w:w="410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99646B" w14:textId="1B8EA300" w:rsidR="00244E65" w:rsidRPr="00244E65" w:rsidRDefault="00244E65" w:rsidP="00244E65">
            <w:pPr>
              <w:spacing w:before="120" w:after="120"/>
              <w:jc w:val="both"/>
              <w:rPr>
                <w:sz w:val="28"/>
                <w:szCs w:val="28"/>
              </w:rPr>
            </w:pPr>
            <w:r w:rsidRPr="00244E65">
              <w:rPr>
                <w:sz w:val="28"/>
                <w:szCs w:val="28"/>
              </w:rPr>
              <w:lastRenderedPageBreak/>
              <w:t>Điểm b khoản 1 Điều 15 Luật số 72/2025/QH15; điểm c khoản 1 Điều 21 Luật số 64/2025/QH15.</w:t>
            </w:r>
          </w:p>
        </w:tc>
        <w:tc>
          <w:tcPr>
            <w:tcW w:w="4253"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AE2195" w14:textId="60669332" w:rsidR="00244E65" w:rsidRPr="00244E65" w:rsidRDefault="00244E65" w:rsidP="00244E65">
            <w:pPr>
              <w:spacing w:before="120" w:after="120"/>
              <w:jc w:val="both"/>
              <w:rPr>
                <w:sz w:val="28"/>
                <w:szCs w:val="28"/>
              </w:rPr>
            </w:pPr>
            <w:r w:rsidRPr="00244E65">
              <w:rPr>
                <w:sz w:val="28"/>
                <w:szCs w:val="28"/>
              </w:rPr>
              <w:t>Điều 10. Tổ chức thực hiện 1. Trách nhiệm Ủy ban nhân dân tỉnh (02 điểm). 2. Nguyên tắc áp dụng văn bản dẫn chiếu khi được sửa đổi, bổ sung, thay thế; báo cáo Hội đồng nhân dân tỉnh khi cần điều chỉnh nội dung, mức hỗ trợ.</w:t>
            </w:r>
          </w:p>
        </w:tc>
        <w:tc>
          <w:tcPr>
            <w:tcW w:w="581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4B1A42" w14:textId="127F6DC6" w:rsidR="00244E65" w:rsidRPr="00244E65" w:rsidRDefault="00244E65" w:rsidP="00244E65">
            <w:pPr>
              <w:spacing w:before="120" w:after="120"/>
              <w:jc w:val="both"/>
              <w:rPr>
                <w:sz w:val="28"/>
                <w:szCs w:val="28"/>
              </w:rPr>
            </w:pPr>
            <w:r w:rsidRPr="00244E65">
              <w:rPr>
                <w:sz w:val="28"/>
                <w:szCs w:val="28"/>
              </w:rPr>
              <w:t>Trách nhiệm tổ chức thực hiện được giao cho Ủy ban nhân dân tỉnh đúng thẩm quyền quản lý nhà nước tại địa phương, phù hợp điểm b khoản 1 Điều 15 Luật số 72/2025/QH15 và điểm c khoản 1 Điều 21 Luật số 64/2025/QH15. Khoản 2 quy định nguyên tắc áp dụng văn bản dẫn chiếu khi được cơ quan nhà nước cấp trên sửa đổi, bổ sung, thay thế, bảo đảm chính sách của tỉnh luôn tương thích, đồng bộ với hệ thống pháp luật hiện hành; đồng thời quy định cơ chế báo cáo, trình Hội đồng nhân dân tỉnh xem xét khi cần điều chỉnh nội dung, mức hỗ trợ đã được quyết định, bảo đảm thẩm quyền quyết định chính sách thuộc về Hội đồng nhân dân tỉnh.</w:t>
            </w:r>
          </w:p>
        </w:tc>
      </w:tr>
    </w:tbl>
    <w:p w14:paraId="4B4423F9" w14:textId="77777777" w:rsidR="008E67D3" w:rsidRDefault="008E67D3"/>
    <w:sectPr w:rsidR="008E67D3" w:rsidSect="0062592D">
      <w:headerReference w:type="even" r:id="rId7"/>
      <w:headerReference w:type="default" r:id="rId8"/>
      <w:pgSz w:w="16840" w:h="11907" w:orient="landscape"/>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EC67" w14:textId="77777777" w:rsidR="00EB6288" w:rsidRDefault="00EB6288" w:rsidP="0062592D">
      <w:r>
        <w:separator/>
      </w:r>
    </w:p>
  </w:endnote>
  <w:endnote w:type="continuationSeparator" w:id="0">
    <w:p w14:paraId="08C82C96" w14:textId="77777777" w:rsidR="00EB6288" w:rsidRDefault="00EB6288" w:rsidP="0062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A3EFD" w14:textId="77777777" w:rsidR="00EB6288" w:rsidRDefault="00EB6288" w:rsidP="0062592D">
      <w:r>
        <w:separator/>
      </w:r>
    </w:p>
  </w:footnote>
  <w:footnote w:type="continuationSeparator" w:id="0">
    <w:p w14:paraId="11265DC6" w14:textId="77777777" w:rsidR="00EB6288" w:rsidRDefault="00EB6288" w:rsidP="0062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3915996"/>
      <w:docPartObj>
        <w:docPartGallery w:val="Page Numbers (Top of Page)"/>
        <w:docPartUnique/>
      </w:docPartObj>
    </w:sdtPr>
    <w:sdtContent>
      <w:p w14:paraId="6BF05E8C" w14:textId="59532E5A" w:rsidR="0062592D" w:rsidRDefault="0062592D" w:rsidP="005472A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09FDE2BF" w14:textId="77777777" w:rsidR="0062592D" w:rsidRDefault="00625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983425"/>
      <w:docPartObj>
        <w:docPartGallery w:val="Page Numbers (Top of Page)"/>
        <w:docPartUnique/>
      </w:docPartObj>
    </w:sdtPr>
    <w:sdtContent>
      <w:p w14:paraId="08166480" w14:textId="3A4606BE" w:rsidR="0062592D" w:rsidRDefault="0062592D" w:rsidP="005472A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F0403E5" w14:textId="77777777" w:rsidR="0062592D" w:rsidRDefault="00625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03525"/>
    <w:multiLevelType w:val="hybridMultilevel"/>
    <w:tmpl w:val="3550CC3C"/>
    <w:lvl w:ilvl="0" w:tplc="D00252F0">
      <w:start w:val="1"/>
      <w:numFmt w:val="bullet"/>
      <w:lvlText w:val="●"/>
      <w:lvlJc w:val="left"/>
      <w:pPr>
        <w:ind w:left="720" w:hanging="360"/>
      </w:pPr>
    </w:lvl>
    <w:lvl w:ilvl="1" w:tplc="5162A4AC">
      <w:start w:val="1"/>
      <w:numFmt w:val="bullet"/>
      <w:lvlText w:val="○"/>
      <w:lvlJc w:val="left"/>
      <w:pPr>
        <w:ind w:left="1440" w:hanging="360"/>
      </w:pPr>
    </w:lvl>
    <w:lvl w:ilvl="2" w:tplc="EDDC9D12">
      <w:start w:val="1"/>
      <w:numFmt w:val="bullet"/>
      <w:lvlText w:val="■"/>
      <w:lvlJc w:val="left"/>
      <w:pPr>
        <w:ind w:left="2160" w:hanging="360"/>
      </w:pPr>
    </w:lvl>
    <w:lvl w:ilvl="3" w:tplc="5C964A3C">
      <w:start w:val="1"/>
      <w:numFmt w:val="bullet"/>
      <w:lvlText w:val="●"/>
      <w:lvlJc w:val="left"/>
      <w:pPr>
        <w:ind w:left="2880" w:hanging="360"/>
      </w:pPr>
    </w:lvl>
    <w:lvl w:ilvl="4" w:tplc="375E5826">
      <w:start w:val="1"/>
      <w:numFmt w:val="bullet"/>
      <w:lvlText w:val="○"/>
      <w:lvlJc w:val="left"/>
      <w:pPr>
        <w:ind w:left="3600" w:hanging="360"/>
      </w:pPr>
    </w:lvl>
    <w:lvl w:ilvl="5" w:tplc="1EB8C1E2">
      <w:start w:val="1"/>
      <w:numFmt w:val="bullet"/>
      <w:lvlText w:val="■"/>
      <w:lvlJc w:val="left"/>
      <w:pPr>
        <w:ind w:left="4320" w:hanging="360"/>
      </w:pPr>
    </w:lvl>
    <w:lvl w:ilvl="6" w:tplc="B26C5D74">
      <w:start w:val="1"/>
      <w:numFmt w:val="bullet"/>
      <w:lvlText w:val="●"/>
      <w:lvlJc w:val="left"/>
      <w:pPr>
        <w:ind w:left="5040" w:hanging="360"/>
      </w:pPr>
    </w:lvl>
    <w:lvl w:ilvl="7" w:tplc="B8ECCEA8">
      <w:start w:val="1"/>
      <w:numFmt w:val="bullet"/>
      <w:lvlText w:val="●"/>
      <w:lvlJc w:val="left"/>
      <w:pPr>
        <w:ind w:left="5760" w:hanging="360"/>
      </w:pPr>
    </w:lvl>
    <w:lvl w:ilvl="8" w:tplc="AF9A4CE6">
      <w:start w:val="1"/>
      <w:numFmt w:val="bullet"/>
      <w:lvlText w:val="●"/>
      <w:lvlJc w:val="left"/>
      <w:pPr>
        <w:ind w:left="6480" w:hanging="360"/>
      </w:pPr>
    </w:lvl>
  </w:abstractNum>
  <w:num w:numId="1" w16cid:durableId="2136436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67"/>
    <w:rsid w:val="000B6335"/>
    <w:rsid w:val="00226C7E"/>
    <w:rsid w:val="00244E65"/>
    <w:rsid w:val="002C4E7F"/>
    <w:rsid w:val="002E6F15"/>
    <w:rsid w:val="0030666C"/>
    <w:rsid w:val="003704E5"/>
    <w:rsid w:val="005A1D73"/>
    <w:rsid w:val="005F48C3"/>
    <w:rsid w:val="0062592D"/>
    <w:rsid w:val="008001AB"/>
    <w:rsid w:val="00842D11"/>
    <w:rsid w:val="008E67D3"/>
    <w:rsid w:val="008E6D81"/>
    <w:rsid w:val="00B0280C"/>
    <w:rsid w:val="00B83625"/>
    <w:rsid w:val="00B84B74"/>
    <w:rsid w:val="00E46667"/>
    <w:rsid w:val="00E729EC"/>
    <w:rsid w:val="00EB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475D"/>
  <w15:docId w15:val="{00E8F63D-6049-5F4B-97C2-0DA74BD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25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592D"/>
    <w:pPr>
      <w:tabs>
        <w:tab w:val="center" w:pos="4680"/>
        <w:tab w:val="right" w:pos="9360"/>
      </w:tabs>
    </w:pPr>
  </w:style>
  <w:style w:type="character" w:customStyle="1" w:styleId="HeaderChar">
    <w:name w:val="Header Char"/>
    <w:basedOn w:val="DefaultParagraphFont"/>
    <w:link w:val="Header"/>
    <w:uiPriority w:val="99"/>
    <w:rsid w:val="0062592D"/>
  </w:style>
  <w:style w:type="character" w:styleId="PageNumber">
    <w:name w:val="page number"/>
    <w:basedOn w:val="DefaultParagraphFont"/>
    <w:uiPriority w:val="99"/>
    <w:semiHidden/>
    <w:unhideWhenUsed/>
    <w:rsid w:val="00625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1779</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2</cp:revision>
  <dcterms:created xsi:type="dcterms:W3CDTF">2026-08-14T07:04:00Z</dcterms:created>
  <dcterms:modified xsi:type="dcterms:W3CDTF">2026-08-14T07:04:00Z</dcterms:modified>
</cp:coreProperties>
</file>