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00" w:type="dxa"/>
        <w:tblCellMar>
          <w:left w:w="10" w:type="dxa"/>
          <w:right w:w="10" w:type="dxa"/>
        </w:tblCellMar>
        <w:tblLook w:val="04A0" w:firstRow="1" w:lastRow="0" w:firstColumn="1" w:lastColumn="0" w:noHBand="0" w:noVBand="1"/>
      </w:tblPr>
      <w:tblGrid>
        <w:gridCol w:w="3681"/>
        <w:gridCol w:w="5719"/>
      </w:tblGrid>
      <w:tr w:rsidR="00E343EF" w:rsidRPr="00434C8D" w14:paraId="4F968F7E" w14:textId="77777777" w:rsidTr="00B2252A">
        <w:tc>
          <w:tcPr>
            <w:tcW w:w="3681" w:type="dxa"/>
            <w:tcMar>
              <w:top w:w="60" w:type="dxa"/>
              <w:left w:w="60" w:type="dxa"/>
              <w:bottom w:w="60" w:type="dxa"/>
              <w:right w:w="60" w:type="dxa"/>
            </w:tcMar>
          </w:tcPr>
          <w:p w14:paraId="5E274108" w14:textId="678E2DE7" w:rsidR="00E343EF" w:rsidRPr="00B2252A" w:rsidRDefault="00785D95" w:rsidP="00B2252A">
            <w:pPr>
              <w:spacing w:after="20"/>
              <w:jc w:val="center"/>
              <w:rPr>
                <w:sz w:val="26"/>
                <w:szCs w:val="26"/>
                <w:lang w:val="vi-VN"/>
              </w:rPr>
            </w:pPr>
            <w:r>
              <w:rPr>
                <w:b/>
                <w:bCs/>
                <w:noProof/>
                <w:sz w:val="26"/>
                <w:szCs w:val="26"/>
              </w:rPr>
              <mc:AlternateContent>
                <mc:Choice Requires="wps">
                  <w:drawing>
                    <wp:anchor distT="0" distB="0" distL="114300" distR="114300" simplePos="0" relativeHeight="251659264" behindDoc="0" locked="0" layoutInCell="1" allowOverlap="1" wp14:anchorId="5483EFDA" wp14:editId="400C4C53">
                      <wp:simplePos x="0" y="0"/>
                      <wp:positionH relativeFrom="column">
                        <wp:posOffset>642126</wp:posOffset>
                      </wp:positionH>
                      <wp:positionV relativeFrom="paragraph">
                        <wp:posOffset>393065</wp:posOffset>
                      </wp:positionV>
                      <wp:extent cx="914400" cy="0"/>
                      <wp:effectExtent l="0" t="0" r="12700" b="12700"/>
                      <wp:wrapNone/>
                      <wp:docPr id="1292340473" name="Straight Connector 1"/>
                      <wp:cNvGraphicFramePr/>
                      <a:graphic xmlns:a="http://schemas.openxmlformats.org/drawingml/2006/main">
                        <a:graphicData uri="http://schemas.microsoft.com/office/word/2010/wordprocessingShape">
                          <wps:wsp>
                            <wps:cNvCnPr/>
                            <wps:spPr>
                              <a:xfrm>
                                <a:off x="0" y="0"/>
                                <a:ext cx="91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5DF03B3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55pt,30.95pt" to="122.5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" strokecolor="black [3200]" strokeweight=".5pt">
                      <v:stroke joinstyle="miter"/>
                    </v:line>
                  </w:pict>
                </mc:Fallback>
              </mc:AlternateContent>
            </w:r>
            <w:r w:rsidRPr="00B2252A">
              <w:rPr>
                <w:b/>
                <w:bCs/>
                <w:sz w:val="26"/>
                <w:szCs w:val="26"/>
              </w:rPr>
              <w:t xml:space="preserve">ỦY BAN NHÂN DÂN </w:t>
            </w:r>
            <w:r w:rsidR="00B2252A">
              <w:rPr>
                <w:b/>
                <w:bCs/>
                <w:sz w:val="26"/>
                <w:szCs w:val="26"/>
                <w:lang w:val="vi-VN"/>
              </w:rPr>
              <w:t xml:space="preserve">      </w:t>
            </w:r>
            <w:r w:rsidRPr="00B2252A">
              <w:rPr>
                <w:b/>
                <w:bCs/>
                <w:sz w:val="26"/>
                <w:szCs w:val="26"/>
              </w:rPr>
              <w:t>TỈNH AN GIANG</w:t>
            </w:r>
          </w:p>
        </w:tc>
        <w:tc>
          <w:tcPr>
            <w:tcW w:w="5719" w:type="dxa"/>
            <w:tcMar>
              <w:top w:w="60" w:type="dxa"/>
              <w:left w:w="60" w:type="dxa"/>
              <w:bottom w:w="60" w:type="dxa"/>
              <w:right w:w="60" w:type="dxa"/>
            </w:tcMar>
          </w:tcPr>
          <w:p w14:paraId="22F6C0E7" w14:textId="77777777" w:rsidR="00E343EF" w:rsidRPr="00434C8D" w:rsidRDefault="00000000">
            <w:pPr>
              <w:spacing w:after="20"/>
              <w:jc w:val="center"/>
              <w:rPr>
                <w:sz w:val="26"/>
                <w:szCs w:val="26"/>
                <w:lang w:val="vi-VN"/>
              </w:rPr>
            </w:pPr>
            <w:r w:rsidRPr="00434C8D">
              <w:rPr>
                <w:b/>
                <w:bCs/>
                <w:sz w:val="26"/>
                <w:szCs w:val="26"/>
                <w:lang w:val="vi-VN"/>
              </w:rPr>
              <w:t>CỘNG HÒA XÃ HỘI CHỦ NGHĨA VIỆT NAM</w:t>
            </w:r>
          </w:p>
          <w:p w14:paraId="63C31F59" w14:textId="27E32E03" w:rsidR="00E343EF" w:rsidRPr="00B2252A" w:rsidRDefault="00785D95" w:rsidP="00B2252A">
            <w:pPr>
              <w:spacing w:after="20"/>
              <w:jc w:val="center"/>
              <w:rPr>
                <w:b/>
                <w:bCs/>
                <w:sz w:val="28"/>
                <w:szCs w:val="28"/>
                <w:lang w:val="vi-VN"/>
              </w:rPr>
            </w:pPr>
            <w:r>
              <w:rPr>
                <w:b/>
                <w:bCs/>
                <w:noProof/>
                <w:sz w:val="28"/>
                <w:szCs w:val="28"/>
              </w:rPr>
              <mc:AlternateContent>
                <mc:Choice Requires="wps">
                  <w:drawing>
                    <wp:anchor distT="0" distB="0" distL="114300" distR="114300" simplePos="0" relativeHeight="251660288" behindDoc="0" locked="0" layoutInCell="1" allowOverlap="1" wp14:anchorId="5168EC99" wp14:editId="2AE349FE">
                      <wp:simplePos x="0" y="0"/>
                      <wp:positionH relativeFrom="column">
                        <wp:posOffset>697865</wp:posOffset>
                      </wp:positionH>
                      <wp:positionV relativeFrom="paragraph">
                        <wp:posOffset>234174</wp:posOffset>
                      </wp:positionV>
                      <wp:extent cx="2144889" cy="0"/>
                      <wp:effectExtent l="0" t="0" r="14605" b="12700"/>
                      <wp:wrapNone/>
                      <wp:docPr id="472174658" name="Straight Connector 2"/>
                      <wp:cNvGraphicFramePr/>
                      <a:graphic xmlns:a="http://schemas.openxmlformats.org/drawingml/2006/main">
                        <a:graphicData uri="http://schemas.microsoft.com/office/word/2010/wordprocessingShape">
                          <wps:wsp>
                            <wps:cNvCnPr/>
                            <wps:spPr>
                              <a:xfrm>
                                <a:off x="0" y="0"/>
                                <a:ext cx="21448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1632976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95pt,18.45pt" to="223.8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" strokecolor="black [3200]" strokeweight=".5pt">
                      <v:stroke joinstyle="miter"/>
                    </v:line>
                  </w:pict>
                </mc:Fallback>
              </mc:AlternateContent>
            </w:r>
            <w:r w:rsidRPr="00434C8D">
              <w:rPr>
                <w:b/>
                <w:bCs/>
                <w:sz w:val="28"/>
                <w:szCs w:val="28"/>
                <w:lang w:val="vi-VN"/>
              </w:rPr>
              <w:t>Độc lập - Tự do - Hạnh phúc</w:t>
            </w:r>
          </w:p>
        </w:tc>
      </w:tr>
      <w:tr w:rsidR="00B2252A" w14:paraId="65E561D5" w14:textId="77777777" w:rsidTr="00B2252A">
        <w:tc>
          <w:tcPr>
            <w:tcW w:w="3681" w:type="dxa"/>
            <w:tcMar>
              <w:top w:w="60" w:type="dxa"/>
              <w:left w:w="60" w:type="dxa"/>
              <w:bottom w:w="60" w:type="dxa"/>
              <w:right w:w="60" w:type="dxa"/>
            </w:tcMar>
          </w:tcPr>
          <w:p w14:paraId="51EE63EF" w14:textId="398F3238" w:rsidR="00B2252A" w:rsidRPr="00B2252A" w:rsidRDefault="00B2252A" w:rsidP="00B2252A">
            <w:pPr>
              <w:spacing w:before="120"/>
              <w:jc w:val="center"/>
              <w:rPr>
                <w:b/>
                <w:bCs/>
                <w:sz w:val="28"/>
                <w:szCs w:val="28"/>
              </w:rPr>
            </w:pPr>
            <w:r w:rsidRPr="00B2252A">
              <w:rPr>
                <w:sz w:val="28"/>
                <w:szCs w:val="28"/>
              </w:rPr>
              <w:t>Số: ……/BC-UBND</w:t>
            </w:r>
          </w:p>
        </w:tc>
        <w:tc>
          <w:tcPr>
            <w:tcW w:w="5719" w:type="dxa"/>
            <w:tcMar>
              <w:top w:w="60" w:type="dxa"/>
              <w:left w:w="60" w:type="dxa"/>
              <w:bottom w:w="60" w:type="dxa"/>
              <w:right w:w="60" w:type="dxa"/>
            </w:tcMar>
          </w:tcPr>
          <w:p w14:paraId="417CA57C" w14:textId="68273EB3" w:rsidR="00B2252A" w:rsidRPr="00B2252A" w:rsidRDefault="00B2252A" w:rsidP="00B2252A">
            <w:pPr>
              <w:spacing w:before="120"/>
              <w:jc w:val="center"/>
              <w:rPr>
                <w:b/>
                <w:bCs/>
                <w:i/>
                <w:iCs/>
                <w:sz w:val="28"/>
                <w:szCs w:val="28"/>
              </w:rPr>
            </w:pPr>
            <w:r w:rsidRPr="00B2252A">
              <w:rPr>
                <w:i/>
                <w:iCs/>
                <w:sz w:val="28"/>
                <w:szCs w:val="28"/>
              </w:rPr>
              <w:t>An Giang, ngày …… tháng …… năm 2026</w:t>
            </w:r>
          </w:p>
        </w:tc>
      </w:tr>
    </w:tbl>
    <w:p w14:paraId="5E0BBFC5" w14:textId="67EF39AE" w:rsidR="00E343EF" w:rsidRDefault="00434C8D">
      <w:pPr>
        <w:spacing w:after="200"/>
      </w:pPr>
      <w:r>
        <w:rPr>
          <w:noProof/>
        </w:rPr>
        <mc:AlternateContent>
          <mc:Choice Requires="wps">
            <w:drawing>
              <wp:anchor distT="0" distB="0" distL="114300" distR="114300" simplePos="0" relativeHeight="251661312" behindDoc="0" locked="0" layoutInCell="1" allowOverlap="1" wp14:anchorId="5F84B501" wp14:editId="0A8E4CC1">
                <wp:simplePos x="0" y="0"/>
                <wp:positionH relativeFrom="column">
                  <wp:posOffset>501015</wp:posOffset>
                </wp:positionH>
                <wp:positionV relativeFrom="paragraph">
                  <wp:posOffset>93980</wp:posOffset>
                </wp:positionV>
                <wp:extent cx="981075" cy="3619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981075" cy="361950"/>
                        </a:xfrm>
                        <a:prstGeom prst="rect">
                          <a:avLst/>
                        </a:prstGeom>
                      </wps:spPr>
                      <wps:style>
                        <a:lnRef idx="2">
                          <a:schemeClr val="dk1"/>
                        </a:lnRef>
                        <a:fillRef idx="1">
                          <a:schemeClr val="lt1"/>
                        </a:fillRef>
                        <a:effectRef idx="0">
                          <a:schemeClr val="dk1"/>
                        </a:effectRef>
                        <a:fontRef idx="minor">
                          <a:schemeClr val="dk1"/>
                        </a:fontRef>
                      </wps:style>
                      <wps:txbx>
                        <w:txbxContent>
                          <w:p w14:paraId="020B6780" w14:textId="57245387" w:rsidR="00434C8D" w:rsidRDefault="00434C8D" w:rsidP="00434C8D">
                            <w:pPr>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84B501" id="Rectangle 1" o:spid="_x0000_s1026" style="position:absolute;margin-left:39.45pt;margin-top:7.4pt;width:77.25pt;height:2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" fillcolor="white [3201]" strokecolor="black [3200]" strokeweight="1pt">
                <v:textbox>
                  <w:txbxContent>
                    <w:p w14:paraId="020B6780" w14:textId="57245387" w:rsidR="00434C8D" w:rsidRDefault="00434C8D" w:rsidP="00434C8D">
                      <w:pPr>
                        <w:jc w:val="center"/>
                      </w:pPr>
                      <w:r>
                        <w:t>DỰ THẢO</w:t>
                      </w:r>
                    </w:p>
                  </w:txbxContent>
                </v:textbox>
              </v:rect>
            </w:pict>
          </mc:Fallback>
        </mc:AlternateContent>
      </w:r>
    </w:p>
    <w:p w14:paraId="03C8D118" w14:textId="77777777" w:rsidR="00E343EF" w:rsidRDefault="00000000">
      <w:pPr>
        <w:spacing w:before="200" w:after="40"/>
        <w:jc w:val="center"/>
      </w:pPr>
      <w:r>
        <w:rPr>
          <w:b/>
          <w:bCs/>
          <w:sz w:val="28"/>
          <w:szCs w:val="28"/>
        </w:rPr>
        <w:t>BÁO CÁO</w:t>
      </w:r>
    </w:p>
    <w:p w14:paraId="4A0A481B" w14:textId="77777777" w:rsidR="00E343EF" w:rsidRDefault="00000000">
      <w:pPr>
        <w:spacing w:after="40"/>
        <w:jc w:val="center"/>
      </w:pPr>
      <w:r>
        <w:rPr>
          <w:b/>
          <w:bCs/>
          <w:sz w:val="28"/>
          <w:szCs w:val="28"/>
        </w:rPr>
        <w:t>Đánh giá thực trạng quan hệ xã hội có liên quan đến chính sách hỗ trợ</w:t>
      </w:r>
    </w:p>
    <w:p w14:paraId="077D0B1B" w14:textId="77777777" w:rsidR="00E343EF" w:rsidRDefault="00000000">
      <w:pPr>
        <w:spacing w:after="200"/>
        <w:jc w:val="center"/>
        <w:rPr>
          <w:b/>
          <w:bCs/>
          <w:sz w:val="28"/>
          <w:szCs w:val="28"/>
          <w:lang w:val="vi-VN"/>
        </w:rPr>
      </w:pPr>
      <w:r>
        <w:rPr>
          <w:b/>
          <w:bCs/>
          <w:sz w:val="28"/>
          <w:szCs w:val="28"/>
        </w:rPr>
        <w:t>ứng dụng, chuyển giao và đổi mới công nghệ trên địa bàn tỉnh An Giang</w:t>
      </w:r>
    </w:p>
    <w:p w14:paraId="6B16FA8B" w14:textId="77777777" w:rsidR="00B2252A" w:rsidRPr="00B2252A" w:rsidRDefault="00B2252A">
      <w:pPr>
        <w:spacing w:after="200"/>
        <w:jc w:val="center"/>
        <w:rPr>
          <w:lang w:val="vi-VN"/>
        </w:rPr>
      </w:pPr>
    </w:p>
    <w:p w14:paraId="631FAF5F" w14:textId="77777777" w:rsidR="00E343EF" w:rsidRPr="00434C8D" w:rsidRDefault="00000000" w:rsidP="00B2252A">
      <w:pPr>
        <w:spacing w:after="120" w:line="300" w:lineRule="auto"/>
        <w:ind w:firstLine="709"/>
        <w:jc w:val="both"/>
        <w:rPr>
          <w:sz w:val="28"/>
          <w:szCs w:val="28"/>
          <w:lang w:val="vi-VN"/>
        </w:rPr>
      </w:pPr>
      <w:r w:rsidRPr="00434C8D">
        <w:rPr>
          <w:sz w:val="28"/>
          <w:szCs w:val="28"/>
          <w:lang w:val="vi-VN"/>
        </w:rPr>
        <w:t>Thực hiện quy định của Luật Ban hành văn bản quy phạm pháp luật số 64/2025/QH15 được sửa đổi, bổ sung bởi Luật số 87/2025/QH15, phục vụ xây dựng dự thảo Nghị quyết quy định chính sách hỗ trợ ứng dụng, chuyển giao và đổi mới công nghệ trên địa bàn tỉnh An Giang giai đoạn 2026 - 2030, Ủy ban nhân dân tỉnh An Giang đã tiến hành đánh giá thực trạng quan hệ xã hội có liên quan đến chính sách/dự thảo. Kết quả như sau:</w:t>
      </w:r>
    </w:p>
    <w:p w14:paraId="5197C1ED" w14:textId="77777777" w:rsidR="00E343EF" w:rsidRPr="00434C8D" w:rsidRDefault="00000000" w:rsidP="00B2252A">
      <w:pPr>
        <w:spacing w:before="200" w:after="120"/>
        <w:ind w:firstLine="709"/>
        <w:jc w:val="both"/>
        <w:rPr>
          <w:sz w:val="28"/>
          <w:szCs w:val="28"/>
          <w:lang w:val="vi-VN"/>
        </w:rPr>
      </w:pPr>
      <w:r w:rsidRPr="00434C8D">
        <w:rPr>
          <w:b/>
          <w:bCs/>
          <w:sz w:val="28"/>
          <w:szCs w:val="28"/>
          <w:lang w:val="vi-VN"/>
        </w:rPr>
        <w:t>I. BỐI CẢNH THỰC HIỆN ĐÁNH GIÁ</w:t>
      </w:r>
    </w:p>
    <w:p w14:paraId="45F788F3" w14:textId="77777777" w:rsidR="00E343EF" w:rsidRPr="00434C8D" w:rsidRDefault="00000000" w:rsidP="00B2252A">
      <w:pPr>
        <w:spacing w:after="120" w:line="300" w:lineRule="auto"/>
        <w:ind w:firstLine="709"/>
        <w:jc w:val="both"/>
        <w:rPr>
          <w:sz w:val="28"/>
          <w:szCs w:val="28"/>
          <w:lang w:val="vi-VN"/>
        </w:rPr>
      </w:pPr>
      <w:r w:rsidRPr="00434C8D">
        <w:rPr>
          <w:b/>
          <w:bCs/>
          <w:sz w:val="28"/>
          <w:szCs w:val="28"/>
          <w:lang w:val="vi-VN"/>
        </w:rPr>
        <w:t>1. Bối cảnh trong nước và quốc tế liên quan đến các quan hệ xã hội</w:t>
      </w:r>
    </w:p>
    <w:p w14:paraId="444DA2AD" w14:textId="77777777" w:rsidR="00E343EF" w:rsidRPr="00434C8D" w:rsidRDefault="00000000" w:rsidP="00B2252A">
      <w:pPr>
        <w:spacing w:after="120" w:line="300" w:lineRule="auto"/>
        <w:ind w:firstLine="709"/>
        <w:jc w:val="both"/>
        <w:rPr>
          <w:sz w:val="28"/>
          <w:szCs w:val="28"/>
          <w:lang w:val="vi-VN"/>
        </w:rPr>
      </w:pPr>
      <w:r w:rsidRPr="00434C8D">
        <w:rPr>
          <w:sz w:val="28"/>
          <w:szCs w:val="28"/>
          <w:lang w:val="vi-VN"/>
        </w:rPr>
        <w:t>Quan hệ giữa Nhà nước (cơ quan quản lý khoa học và công nghệ) với doanh nghiệp, hợp tác xã, tổ chức khoa học và công nghệ trong hoạt động hỗ trợ tài chính để ứng dụng, chuyển giao, đổi mới công nghệ là quan hệ xã hội phổ biến, đã và đang được điều chỉnh ở hầu hết các tỉnh, thành phố trực thuộc Trung ương (thành phố Cần Thơ, tỉnh Vĩnh Long, tỉnh Đồng Tháp, thành phố Đà Nẵng đã ban hành nghị quyết riêng trong năm 2025 - 2026, trong đó Nghị quyết số 33/2026/NQ-HĐND ngày 29/5/2026 của Hội đồng nhân dân thành phố Đà Nẵng thay thế Nghị quyết số 35/2024/NQ-HĐND). Xu hướng chung là mở rộng phạm vi hỗ trợ (bổ sung phát triển thị trường khoa học công nghệ, hỗ trợ phi tài chính) và nâng mức hỗ trợ, gắn với ưu tiên công nghệ chiến lược quốc gia theo Nghị quyết số 57-NQ/TW và Quyết định số 21/2026/QĐ-TTg.</w:t>
      </w:r>
    </w:p>
    <w:p w14:paraId="71669CDD" w14:textId="77777777" w:rsidR="00E343EF" w:rsidRPr="00434C8D" w:rsidRDefault="00000000" w:rsidP="00B2252A">
      <w:pPr>
        <w:spacing w:after="120" w:line="300" w:lineRule="auto"/>
        <w:ind w:firstLine="709"/>
        <w:jc w:val="both"/>
        <w:rPr>
          <w:sz w:val="28"/>
          <w:szCs w:val="28"/>
          <w:lang w:val="vi-VN"/>
        </w:rPr>
      </w:pPr>
      <w:r w:rsidRPr="00434C8D">
        <w:rPr>
          <w:b/>
          <w:bCs/>
          <w:sz w:val="28"/>
          <w:szCs w:val="28"/>
          <w:lang w:val="vi-VN"/>
        </w:rPr>
        <w:t>2. Các chủ trương, đường lối của Đảng, chính sách của Nhà nước liên quan đến quan hệ xã hội</w:t>
      </w:r>
    </w:p>
    <w:p w14:paraId="089CB835" w14:textId="77777777" w:rsidR="00E343EF" w:rsidRPr="00434C8D" w:rsidRDefault="00000000" w:rsidP="00B2252A">
      <w:pPr>
        <w:spacing w:after="120" w:line="300" w:lineRule="auto"/>
        <w:ind w:firstLine="709"/>
        <w:jc w:val="both"/>
        <w:rPr>
          <w:sz w:val="28"/>
          <w:szCs w:val="28"/>
          <w:lang w:val="vi-VN"/>
        </w:rPr>
      </w:pPr>
      <w:r w:rsidRPr="00434C8D">
        <w:rPr>
          <w:sz w:val="28"/>
          <w:szCs w:val="28"/>
          <w:lang w:val="vi-VN"/>
        </w:rPr>
        <w:t xml:space="preserve">Nghị quyết số 57-NQ/TW ngày 22/12/2024 của Bộ Chính trị xác định phát triển khoa học, công nghệ, đổi mới sáng tạo, chuyển đổi số là đột phá quan trọng hàng đầu; Chương trình hành động số 16-CTr/TU ngày 05/3/2026 của Ban Chấp hành Đảng bộ tỉnh An Giang cụ thể hóa chủ trương này tại địa phương, xác định </w:t>
      </w:r>
      <w:r w:rsidRPr="00434C8D">
        <w:rPr>
          <w:sz w:val="28"/>
          <w:szCs w:val="28"/>
          <w:lang w:val="vi-VN"/>
        </w:rPr>
        <w:lastRenderedPageBreak/>
        <w:t>phát triển khoa học, công nghệ và đổi mới sáng tạo là khâu đột phá chiến lược của tỉnh.</w:t>
      </w:r>
    </w:p>
    <w:p w14:paraId="7F538EB5" w14:textId="77777777" w:rsidR="00E343EF" w:rsidRPr="00434C8D" w:rsidRDefault="00000000" w:rsidP="00B2252A">
      <w:pPr>
        <w:spacing w:before="200" w:after="120"/>
        <w:ind w:firstLine="709"/>
        <w:jc w:val="both"/>
        <w:rPr>
          <w:sz w:val="28"/>
          <w:szCs w:val="28"/>
          <w:lang w:val="vi-VN"/>
        </w:rPr>
      </w:pPr>
      <w:r w:rsidRPr="00434C8D">
        <w:rPr>
          <w:b/>
          <w:bCs/>
          <w:sz w:val="28"/>
          <w:szCs w:val="28"/>
          <w:lang w:val="vi-VN"/>
        </w:rPr>
        <w:t>II. THỰC TRẠNG QUAN HỆ XÃ HỘI</w:t>
      </w:r>
    </w:p>
    <w:p w14:paraId="4396C491" w14:textId="77777777" w:rsidR="00E343EF" w:rsidRPr="00434C8D" w:rsidRDefault="00000000" w:rsidP="00B2252A">
      <w:pPr>
        <w:spacing w:after="120" w:line="300" w:lineRule="auto"/>
        <w:ind w:firstLine="709"/>
        <w:jc w:val="both"/>
        <w:rPr>
          <w:sz w:val="28"/>
          <w:szCs w:val="28"/>
          <w:lang w:val="vi-VN"/>
        </w:rPr>
      </w:pPr>
      <w:r w:rsidRPr="00434C8D">
        <w:rPr>
          <w:b/>
          <w:bCs/>
          <w:sz w:val="28"/>
          <w:szCs w:val="28"/>
          <w:lang w:val="vi-VN"/>
        </w:rPr>
        <w:t>1. Quan hệ xã hội chưa có pháp luật điều chỉnh liên quan đến chính sách/dự thảo</w:t>
      </w:r>
    </w:p>
    <w:p w14:paraId="09FFD09C" w14:textId="77777777" w:rsidR="00E343EF" w:rsidRPr="00434C8D" w:rsidRDefault="00000000" w:rsidP="00B2252A">
      <w:pPr>
        <w:spacing w:after="120" w:line="300" w:lineRule="auto"/>
        <w:ind w:firstLine="709"/>
        <w:jc w:val="both"/>
        <w:rPr>
          <w:sz w:val="28"/>
          <w:szCs w:val="28"/>
          <w:lang w:val="vi-VN"/>
        </w:rPr>
      </w:pPr>
      <w:r w:rsidRPr="00434C8D">
        <w:rPr>
          <w:sz w:val="28"/>
          <w:szCs w:val="28"/>
          <w:lang w:val="vi-VN"/>
        </w:rPr>
        <w:t>Quan hệ hỗ trợ tài chính của Nhà nước cho doanh nghiệp, hợp tác xã, tổ chức khoa học và công nghệ trên địa bàn tỉnh An Giang trong hoạt động ứng dụng, chuyển giao và đổi mới công nghệ trước đây được điều chỉnh bởi Quyết định số 71/2019/QĐ-UBND (sửa đổi, bổ sung tại Quyết định số 16/2023/QĐ-UBND) của Ủy ban nhân dân tỉnh. Về bản chất pháp lý, nội dung chính sách hỗ trợ phát triển kinh tế - xã hội, ngân sách của địa phương quy định tại Quyết định nêu trên nay thuộc thẩm quyền quyết định của Hội đồng nhân dân tỉnh (điểm c khoản 1 Điều 21 Luật số 64/2025/QH15), không còn thuộc thẩm quyền ban hành của Ủy ban nhân dân tỉnh; để bảo đảm tính rõ ràng, minh bạch của hệ thống pháp luật, Ủy ban nhân dân tỉnh đã ban hành Quyết định số 70/2026/QĐ-UBND ngày 18/7/2026 chính thức bãi bỏ Quyết định số 71/2019/QĐ-UBND và Quyết định số 16/2023/QĐ-UBND, có hiệu lực thi hành từ ngày 28/7/2026. Do đó, kể từ ngày 28/7/2026, quan hệ xã hội nêu trên đang trong tình trạng chưa có văn bản quy phạm pháp luật đúng thẩm quyền điều chỉnh, trong khi nhu cầu ứng dụng công nghệ chiến lược (trí tuệ nhân tạo, Internet vạn vật, tự động hóa, công nghệ sinh học), chuyển đổi số và phát triển thị trường khoa học và công nghệ của doanh nghiệp, hợp tác xã trên địa bàn tỉnh tiếp tục gia tăng. Đây là khoảng trống chính sách thực tế, cần Hội đồng nhân dân tỉnh sớm xem xét, ban hành Nghị quyết thay thế để khắc phục trong thời gian ngắn nhất.</w:t>
      </w:r>
    </w:p>
    <w:p w14:paraId="35F2B3A9" w14:textId="77777777" w:rsidR="00E343EF" w:rsidRPr="00434C8D" w:rsidRDefault="00000000" w:rsidP="00B2252A">
      <w:pPr>
        <w:spacing w:after="120" w:line="300" w:lineRule="auto"/>
        <w:ind w:firstLine="709"/>
        <w:jc w:val="both"/>
        <w:rPr>
          <w:sz w:val="28"/>
          <w:szCs w:val="28"/>
          <w:lang w:val="vi-VN"/>
        </w:rPr>
      </w:pPr>
      <w:r w:rsidRPr="00434C8D">
        <w:rPr>
          <w:b/>
          <w:bCs/>
          <w:sz w:val="28"/>
          <w:szCs w:val="28"/>
          <w:lang w:val="vi-VN"/>
        </w:rPr>
        <w:t>2. Lý do cần có quy định của pháp luật để điều chỉnh quan hệ xã hội</w:t>
      </w:r>
    </w:p>
    <w:p w14:paraId="3AE31CB5" w14:textId="77777777" w:rsidR="00E343EF" w:rsidRPr="00434C8D" w:rsidRDefault="00000000" w:rsidP="00B2252A">
      <w:pPr>
        <w:spacing w:after="120" w:line="300" w:lineRule="auto"/>
        <w:ind w:firstLine="709"/>
        <w:jc w:val="both"/>
        <w:rPr>
          <w:sz w:val="28"/>
          <w:szCs w:val="28"/>
          <w:lang w:val="vi-VN"/>
        </w:rPr>
      </w:pPr>
      <w:r w:rsidRPr="00434C8D">
        <w:rPr>
          <w:sz w:val="28"/>
          <w:szCs w:val="28"/>
          <w:lang w:val="vi-VN"/>
        </w:rPr>
        <w:t xml:space="preserve">Việc thiếu văn bản quy phạm pháp luật đúng thẩm quyền điều chỉnh quan hệ hỗ trợ nêu trên dẫn đến: (i) doanh nghiệp, hợp tác xã, tổ chức khoa học và công nghệ trên địa bàn tỉnh không có cơ sở pháp lý để được xem xét hỗ trợ kinh phí ứng dụng, chuyển giao, đổi mới công nghệ từ ngân sách nhà nước; (ii) tỉnh An Giang có nguy cơ tụt hậu so với các tỉnh, thành phố lân cận đã kịp thời ban hành chính sách hỗ trợ mới (Cần Thơ, Vĩnh Long, Đồng Tháp, Đà Nẵng), ảnh hưởng đến năng lực cạnh tranh thu hút doanh nghiệp đầu tư đổi mới công nghệ trên địa bàn; (iii) không thể chế hóa kịp thời chủ trương ưu tiên công nghệ chiến lược tại Nghị quyết số 57-NQ/TW và Quyết định số 21/2026/QĐ-TTg vào chính sách cụ </w:t>
      </w:r>
      <w:r w:rsidRPr="00434C8D">
        <w:rPr>
          <w:sz w:val="28"/>
          <w:szCs w:val="28"/>
          <w:lang w:val="vi-VN"/>
        </w:rPr>
        <w:lastRenderedPageBreak/>
        <w:t>thể của địa phương. Do đó, cần thiết ban hành Nghị quyết của Hội đồng nhân dân tỉnh để điều chỉnh kịp thời, đúng thẩm quyền quan hệ xã hội này.</w:t>
      </w:r>
    </w:p>
    <w:p w14:paraId="35D11C14" w14:textId="77777777" w:rsidR="00E343EF" w:rsidRPr="00434C8D" w:rsidRDefault="00000000" w:rsidP="00B2252A">
      <w:pPr>
        <w:spacing w:after="120" w:line="300" w:lineRule="auto"/>
        <w:ind w:firstLine="709"/>
        <w:jc w:val="both"/>
        <w:rPr>
          <w:sz w:val="28"/>
          <w:szCs w:val="28"/>
          <w:lang w:val="vi-VN"/>
        </w:rPr>
      </w:pPr>
      <w:r w:rsidRPr="00434C8D">
        <w:rPr>
          <w:b/>
          <w:bCs/>
          <w:sz w:val="28"/>
          <w:szCs w:val="28"/>
          <w:lang w:val="vi-VN"/>
        </w:rPr>
        <w:t>3. Thẩm quyền ban hành các quy định của pháp luật để điều chỉnh quan hệ xã hội</w:t>
      </w:r>
    </w:p>
    <w:p w14:paraId="322EFA51" w14:textId="77777777" w:rsidR="00E343EF" w:rsidRPr="00434C8D" w:rsidRDefault="00000000" w:rsidP="00B2252A">
      <w:pPr>
        <w:spacing w:after="120" w:line="300" w:lineRule="auto"/>
        <w:ind w:firstLine="709"/>
        <w:jc w:val="both"/>
        <w:rPr>
          <w:sz w:val="28"/>
          <w:szCs w:val="28"/>
          <w:lang w:val="vi-VN"/>
        </w:rPr>
      </w:pPr>
      <w:r w:rsidRPr="00434C8D">
        <w:rPr>
          <w:sz w:val="28"/>
          <w:szCs w:val="28"/>
          <w:lang w:val="vi-VN"/>
        </w:rPr>
        <w:t>Theo điểm b khoản 1 Điều 15 Luật Tổ chức chính quyền địa phương số 72/2025/QH15, Hội đồng nhân dân tỉnh có thẩm quyền quyết định chính sách, cơ chế phát triển kinh tế - xã hội, trong đó có đột phá phát triển khoa học, công nghệ, đổi mới sáng tạo và chuyển đổi số của địa phương; theo điểm c khoản 1 Điều 21 Luật Ban hành văn bản quy phạm pháp luật số 64/2025/QH15, Hội đồng nhân dân cấp tỉnh ban hành nghị quyết để quy định biện pháp đặc thù phát triển kinh tế - xã hội phù hợp điều kiện của địa phương. Quan hệ xã hội nêu tại mục 1 thuộc đúng phạm vi thẩm quyền này của Hội đồng nhân dân tỉnh An Giang.</w:t>
      </w:r>
    </w:p>
    <w:p w14:paraId="4F45C11A" w14:textId="77777777" w:rsidR="00E343EF" w:rsidRPr="00434C8D" w:rsidRDefault="00000000" w:rsidP="00B2252A">
      <w:pPr>
        <w:spacing w:after="120" w:line="300" w:lineRule="auto"/>
        <w:ind w:firstLine="709"/>
        <w:jc w:val="both"/>
        <w:rPr>
          <w:sz w:val="28"/>
          <w:szCs w:val="28"/>
          <w:lang w:val="vi-VN"/>
        </w:rPr>
      </w:pPr>
      <w:r w:rsidRPr="00434C8D">
        <w:rPr>
          <w:b/>
          <w:bCs/>
          <w:sz w:val="28"/>
          <w:szCs w:val="28"/>
          <w:lang w:val="vi-VN"/>
        </w:rPr>
        <w:t>4. Những nội dung khác</w:t>
      </w:r>
    </w:p>
    <w:p w14:paraId="420DEDD1" w14:textId="77777777" w:rsidR="00E343EF" w:rsidRPr="00434C8D" w:rsidRDefault="00000000" w:rsidP="00B2252A">
      <w:pPr>
        <w:spacing w:after="120" w:line="300" w:lineRule="auto"/>
        <w:ind w:firstLine="709"/>
        <w:jc w:val="both"/>
        <w:rPr>
          <w:sz w:val="28"/>
          <w:szCs w:val="28"/>
          <w:lang w:val="vi-VN"/>
        </w:rPr>
      </w:pPr>
      <w:r w:rsidRPr="00434C8D">
        <w:rPr>
          <w:sz w:val="28"/>
          <w:szCs w:val="28"/>
          <w:lang w:val="vi-VN"/>
        </w:rPr>
        <w:t>Không có.</w:t>
      </w:r>
    </w:p>
    <w:p w14:paraId="2B694FEE" w14:textId="77777777" w:rsidR="00E343EF" w:rsidRPr="00434C8D" w:rsidRDefault="00000000" w:rsidP="00B2252A">
      <w:pPr>
        <w:spacing w:before="200" w:after="120"/>
        <w:ind w:firstLine="709"/>
        <w:jc w:val="both"/>
        <w:rPr>
          <w:sz w:val="28"/>
          <w:szCs w:val="28"/>
          <w:lang w:val="vi-VN"/>
        </w:rPr>
      </w:pPr>
      <w:r w:rsidRPr="00434C8D">
        <w:rPr>
          <w:b/>
          <w:bCs/>
          <w:sz w:val="28"/>
          <w:szCs w:val="28"/>
          <w:lang w:val="vi-VN"/>
        </w:rPr>
        <w:t>III. ĐỀ XUẤT, KIẾN NGHỊ</w:t>
      </w:r>
    </w:p>
    <w:p w14:paraId="022C319C" w14:textId="77777777" w:rsidR="00E343EF" w:rsidRPr="00434C8D" w:rsidRDefault="00000000" w:rsidP="00B2252A">
      <w:pPr>
        <w:spacing w:after="120" w:line="300" w:lineRule="auto"/>
        <w:ind w:firstLine="709"/>
        <w:jc w:val="both"/>
        <w:rPr>
          <w:sz w:val="28"/>
          <w:szCs w:val="28"/>
          <w:lang w:val="vi-VN"/>
        </w:rPr>
      </w:pPr>
      <w:r w:rsidRPr="00434C8D">
        <w:rPr>
          <w:sz w:val="28"/>
          <w:szCs w:val="28"/>
          <w:lang w:val="vi-VN"/>
        </w:rPr>
        <w:t>Kiến nghị Hội đồng nhân dân tỉnh An Giang xem xét, ban hành Nghị quyết quy định chính sách hỗ trợ ứng dụng, chuyển giao và đổi mới công nghệ trên địa bàn tỉnh giai đoạn 2026 - 2030 để kịp thời điều chỉnh quan hệ xã hội nêu trên, bảo đảm đúng thẩm quyền, đồng bộ với hệ thống pháp luật hiện hành và tương xứng với chính sách của các tỉnh, thành phố lân cận.</w:t>
      </w:r>
    </w:p>
    <w:p w14:paraId="7477E078" w14:textId="77777777" w:rsidR="00E343EF" w:rsidRPr="00434C8D" w:rsidRDefault="00E343EF">
      <w:pPr>
        <w:spacing w:after="200"/>
        <w:rPr>
          <w:lang w:val="vi-VN"/>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4700"/>
      </w:tblGrid>
      <w:tr w:rsidR="00E343EF" w14:paraId="723BC88F" w14:textId="77777777">
        <w:tc>
          <w:tcPr>
            <w:tcW w:w="4700" w:type="dxa"/>
            <w:tcBorders>
              <w:top w:val="none" w:sz="0" w:space="0" w:color="FFFFFF"/>
              <w:left w:val="none" w:sz="0" w:space="0" w:color="FFFFFF"/>
              <w:bottom w:val="none" w:sz="0" w:space="0" w:color="FFFFFF"/>
              <w:right w:val="none" w:sz="0" w:space="0" w:color="FFFFFF"/>
            </w:tcBorders>
            <w:tcMar>
              <w:top w:w="60" w:type="dxa"/>
              <w:left w:w="60" w:type="dxa"/>
              <w:bottom w:w="60" w:type="dxa"/>
              <w:right w:w="60" w:type="dxa"/>
            </w:tcMar>
          </w:tcPr>
          <w:p w14:paraId="35EB61A5" w14:textId="77777777" w:rsidR="00E343EF" w:rsidRPr="00434C8D" w:rsidRDefault="00000000">
            <w:pPr>
              <w:spacing w:after="20"/>
              <w:rPr>
                <w:b/>
                <w:bCs/>
                <w:sz w:val="24"/>
                <w:szCs w:val="24"/>
                <w:lang w:val="vi-VN"/>
              </w:rPr>
            </w:pPr>
            <w:r w:rsidRPr="00434C8D">
              <w:rPr>
                <w:b/>
                <w:bCs/>
                <w:i/>
                <w:iCs/>
                <w:sz w:val="24"/>
                <w:szCs w:val="24"/>
                <w:lang w:val="vi-VN"/>
              </w:rPr>
              <w:t>Nơi nhận:</w:t>
            </w:r>
          </w:p>
          <w:p w14:paraId="220DBFB3" w14:textId="77777777" w:rsidR="00E343EF" w:rsidRPr="00434C8D" w:rsidRDefault="00000000">
            <w:pPr>
              <w:spacing w:after="20"/>
              <w:rPr>
                <w:lang w:val="vi-VN"/>
              </w:rPr>
            </w:pPr>
            <w:r w:rsidRPr="00434C8D">
              <w:rPr>
                <w:sz w:val="22"/>
                <w:szCs w:val="22"/>
                <w:lang w:val="vi-VN"/>
              </w:rPr>
              <w:t>- Hội đồng nhân dân tỉnh (để báo cáo);</w:t>
            </w:r>
          </w:p>
          <w:p w14:paraId="047FF7D1" w14:textId="77777777" w:rsidR="00E343EF" w:rsidRPr="00434C8D" w:rsidRDefault="00000000">
            <w:pPr>
              <w:spacing w:after="20"/>
              <w:rPr>
                <w:lang w:val="vi-VN"/>
              </w:rPr>
            </w:pPr>
            <w:r w:rsidRPr="00434C8D">
              <w:rPr>
                <w:sz w:val="22"/>
                <w:szCs w:val="22"/>
                <w:lang w:val="vi-VN"/>
              </w:rPr>
              <w:t>- Sở Tư pháp;</w:t>
            </w:r>
          </w:p>
          <w:p w14:paraId="3C52D2D6" w14:textId="77777777" w:rsidR="00E343EF" w:rsidRPr="00434C8D" w:rsidRDefault="00000000">
            <w:pPr>
              <w:spacing w:after="20"/>
              <w:rPr>
                <w:lang w:val="vi-VN"/>
              </w:rPr>
            </w:pPr>
            <w:r w:rsidRPr="00434C8D">
              <w:rPr>
                <w:sz w:val="22"/>
                <w:szCs w:val="22"/>
                <w:lang w:val="vi-VN"/>
              </w:rPr>
              <w:t>- Lưu: VT.</w:t>
            </w:r>
          </w:p>
        </w:tc>
        <w:tc>
          <w:tcPr>
            <w:tcW w:w="4700" w:type="dxa"/>
            <w:tcBorders>
              <w:top w:val="none" w:sz="0" w:space="0" w:color="FFFFFF"/>
              <w:left w:val="none" w:sz="0" w:space="0" w:color="FFFFFF"/>
              <w:bottom w:val="none" w:sz="0" w:space="0" w:color="FFFFFF"/>
              <w:right w:val="none" w:sz="0" w:space="0" w:color="FFFFFF"/>
            </w:tcBorders>
            <w:tcMar>
              <w:top w:w="60" w:type="dxa"/>
              <w:left w:w="60" w:type="dxa"/>
              <w:bottom w:w="60" w:type="dxa"/>
              <w:right w:w="60" w:type="dxa"/>
            </w:tcMar>
          </w:tcPr>
          <w:p w14:paraId="506F2146" w14:textId="77777777" w:rsidR="00E343EF" w:rsidRPr="00434C8D" w:rsidRDefault="00000000">
            <w:pPr>
              <w:spacing w:after="20"/>
              <w:jc w:val="center"/>
              <w:rPr>
                <w:lang w:val="vi-VN"/>
              </w:rPr>
            </w:pPr>
            <w:r w:rsidRPr="00434C8D">
              <w:rPr>
                <w:b/>
                <w:bCs/>
                <w:sz w:val="24"/>
                <w:szCs w:val="24"/>
                <w:lang w:val="vi-VN"/>
              </w:rPr>
              <w:t>TM. ỦY BAN NHÂN DÂN</w:t>
            </w:r>
          </w:p>
          <w:p w14:paraId="525C69D9" w14:textId="77777777" w:rsidR="00E343EF" w:rsidRPr="00434C8D" w:rsidRDefault="00000000">
            <w:pPr>
              <w:spacing w:after="20"/>
              <w:jc w:val="center"/>
              <w:rPr>
                <w:lang w:val="vi-VN"/>
              </w:rPr>
            </w:pPr>
            <w:r w:rsidRPr="00434C8D">
              <w:rPr>
                <w:b/>
                <w:bCs/>
                <w:sz w:val="24"/>
                <w:szCs w:val="24"/>
                <w:lang w:val="vi-VN"/>
              </w:rPr>
              <w:t>KT. CHỦ TỊCH</w:t>
            </w:r>
          </w:p>
          <w:p w14:paraId="3E55877E" w14:textId="77777777" w:rsidR="00E343EF" w:rsidRDefault="00000000">
            <w:pPr>
              <w:spacing w:after="20"/>
              <w:jc w:val="center"/>
            </w:pPr>
            <w:r>
              <w:rPr>
                <w:b/>
                <w:bCs/>
                <w:sz w:val="24"/>
                <w:szCs w:val="24"/>
              </w:rPr>
              <w:t>PHÓ CHỦ TỊCH</w:t>
            </w:r>
          </w:p>
        </w:tc>
      </w:tr>
    </w:tbl>
    <w:p w14:paraId="7A8A0357" w14:textId="77777777" w:rsidR="00E343EF" w:rsidRDefault="00E343EF">
      <w:pPr>
        <w:pageBreakBefore/>
      </w:pPr>
    </w:p>
    <w:p w14:paraId="1BAF284E" w14:textId="77777777" w:rsidR="00E343EF" w:rsidRPr="00B2252A" w:rsidRDefault="00000000" w:rsidP="00B2252A">
      <w:pPr>
        <w:spacing w:before="120" w:after="120"/>
        <w:jc w:val="center"/>
        <w:rPr>
          <w:sz w:val="28"/>
          <w:szCs w:val="28"/>
        </w:rPr>
      </w:pPr>
      <w:r w:rsidRPr="00B2252A">
        <w:rPr>
          <w:b/>
          <w:bCs/>
          <w:sz w:val="28"/>
          <w:szCs w:val="28"/>
        </w:rPr>
        <w:t>Phụ lục</w:t>
      </w:r>
    </w:p>
    <w:p w14:paraId="29A9EA04" w14:textId="77777777" w:rsidR="00E343EF" w:rsidRPr="00B2252A" w:rsidRDefault="00000000" w:rsidP="00B2252A">
      <w:pPr>
        <w:spacing w:before="120" w:after="120"/>
        <w:ind w:firstLine="720"/>
        <w:jc w:val="both"/>
        <w:rPr>
          <w:sz w:val="28"/>
          <w:szCs w:val="28"/>
        </w:rPr>
      </w:pPr>
      <w:r w:rsidRPr="00B2252A">
        <w:rPr>
          <w:b/>
          <w:bCs/>
          <w:sz w:val="28"/>
          <w:szCs w:val="28"/>
        </w:rPr>
        <w:t>1. Chủ trương, đường lối của Đảng có liên quan đến chính sách/dự thảo</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3200"/>
        <w:gridCol w:w="3000"/>
      </w:tblGrid>
      <w:tr w:rsidR="00B2252A" w:rsidRPr="00B2252A" w14:paraId="42F7ED4B" w14:textId="77777777">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F874486" w14:textId="7D76565F" w:rsidR="00B2252A" w:rsidRPr="00B2252A" w:rsidRDefault="00B2252A" w:rsidP="00B2252A">
            <w:pPr>
              <w:spacing w:before="120" w:after="120"/>
              <w:jc w:val="center"/>
              <w:rPr>
                <w:sz w:val="28"/>
                <w:szCs w:val="28"/>
              </w:rPr>
            </w:pPr>
            <w:r w:rsidRPr="00B2252A">
              <w:rPr>
                <w:b/>
                <w:bCs/>
                <w:sz w:val="28"/>
                <w:szCs w:val="28"/>
              </w:rPr>
              <w:t>Chủ trương, đường lối của Đảng</w:t>
            </w:r>
          </w:p>
        </w:tc>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35C9422" w14:textId="3FDC855B" w:rsidR="00B2252A" w:rsidRPr="00B2252A" w:rsidRDefault="00B2252A" w:rsidP="00B2252A">
            <w:pPr>
              <w:spacing w:before="120" w:after="120"/>
              <w:jc w:val="center"/>
              <w:rPr>
                <w:sz w:val="28"/>
                <w:szCs w:val="28"/>
              </w:rPr>
            </w:pPr>
            <w:r w:rsidRPr="00B2252A">
              <w:rPr>
                <w:b/>
                <w:bCs/>
                <w:sz w:val="28"/>
                <w:szCs w:val="28"/>
              </w:rPr>
              <w:t>Chính sách/quy định của dự thảo</w:t>
            </w:r>
          </w:p>
        </w:tc>
        <w:tc>
          <w:tcPr>
            <w:tcW w:w="3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1ABB2D1" w14:textId="09F4BDDE" w:rsidR="00B2252A" w:rsidRPr="00B2252A" w:rsidRDefault="00B2252A" w:rsidP="00B2252A">
            <w:pPr>
              <w:spacing w:before="120" w:after="120"/>
              <w:jc w:val="center"/>
              <w:rPr>
                <w:sz w:val="28"/>
                <w:szCs w:val="28"/>
              </w:rPr>
            </w:pPr>
            <w:r w:rsidRPr="00B2252A">
              <w:rPr>
                <w:b/>
                <w:bCs/>
                <w:sz w:val="28"/>
                <w:szCs w:val="28"/>
              </w:rPr>
              <w:t>Đánh giá / Đề xuất xử lý</w:t>
            </w:r>
          </w:p>
        </w:tc>
      </w:tr>
      <w:tr w:rsidR="00E343EF" w:rsidRPr="00B2252A" w14:paraId="2BE609BD" w14:textId="77777777">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4E828B3" w14:textId="77777777" w:rsidR="00E343EF" w:rsidRPr="00B2252A" w:rsidRDefault="00000000" w:rsidP="00B2252A">
            <w:pPr>
              <w:spacing w:before="120" w:after="120"/>
              <w:jc w:val="both"/>
              <w:rPr>
                <w:sz w:val="28"/>
                <w:szCs w:val="28"/>
              </w:rPr>
            </w:pPr>
            <w:r w:rsidRPr="00B2252A">
              <w:rPr>
                <w:sz w:val="28"/>
                <w:szCs w:val="28"/>
              </w:rPr>
              <w:t>Nghị quyết số 57-NQ/TW ngày 22/12/2024; Chương trình hành động số 16-CTr/TU ngày 05/3/2026 của Tỉnh ủy An Giang</w:t>
            </w:r>
          </w:p>
        </w:tc>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96E5C0F" w14:textId="77777777" w:rsidR="00E343EF" w:rsidRPr="00B2252A" w:rsidRDefault="00000000" w:rsidP="00B2252A">
            <w:pPr>
              <w:spacing w:before="120" w:after="120"/>
              <w:jc w:val="both"/>
              <w:rPr>
                <w:sz w:val="28"/>
                <w:szCs w:val="28"/>
              </w:rPr>
            </w:pPr>
            <w:r w:rsidRPr="00B2252A">
              <w:rPr>
                <w:sz w:val="28"/>
                <w:szCs w:val="28"/>
              </w:rPr>
              <w:t>Ưu tiên hỗ trợ công nghệ chiến lược; nâng mức hỗ trợ; bổ sung phát triển thị trường KH&amp;CN</w:t>
            </w:r>
          </w:p>
        </w:tc>
        <w:tc>
          <w:tcPr>
            <w:tcW w:w="3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9CE56D5" w14:textId="77777777" w:rsidR="00E343EF" w:rsidRPr="00B2252A" w:rsidRDefault="00000000" w:rsidP="00B2252A">
            <w:pPr>
              <w:spacing w:before="120" w:after="120"/>
              <w:jc w:val="both"/>
              <w:rPr>
                <w:sz w:val="28"/>
                <w:szCs w:val="28"/>
              </w:rPr>
            </w:pPr>
            <w:r w:rsidRPr="00B2252A">
              <w:rPr>
                <w:sz w:val="28"/>
                <w:szCs w:val="28"/>
              </w:rPr>
              <w:t>Đã thể chế đầy đủ; không cần đề xuất xử lý thêm</w:t>
            </w:r>
          </w:p>
        </w:tc>
      </w:tr>
    </w:tbl>
    <w:p w14:paraId="16836855" w14:textId="77777777" w:rsidR="00E343EF" w:rsidRPr="00B2252A" w:rsidRDefault="00000000" w:rsidP="00B2252A">
      <w:pPr>
        <w:spacing w:before="120" w:after="120"/>
        <w:ind w:firstLine="720"/>
        <w:jc w:val="both"/>
        <w:rPr>
          <w:sz w:val="28"/>
          <w:szCs w:val="28"/>
        </w:rPr>
      </w:pPr>
      <w:r w:rsidRPr="00B2252A">
        <w:rPr>
          <w:b/>
          <w:bCs/>
          <w:sz w:val="28"/>
          <w:szCs w:val="28"/>
        </w:rPr>
        <w:t>2. Văn bản quy phạm pháp luật có liên quan đến chính sách/dự thảo</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3200"/>
        <w:gridCol w:w="3000"/>
      </w:tblGrid>
      <w:tr w:rsidR="00B2252A" w:rsidRPr="00B2252A" w14:paraId="7FDE9B00" w14:textId="77777777">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EE82C42" w14:textId="7DA775B5" w:rsidR="00B2252A" w:rsidRPr="00B2252A" w:rsidRDefault="00B2252A" w:rsidP="00B2252A">
            <w:pPr>
              <w:spacing w:before="120" w:after="120"/>
              <w:jc w:val="center"/>
              <w:rPr>
                <w:sz w:val="28"/>
                <w:szCs w:val="28"/>
              </w:rPr>
            </w:pPr>
            <w:r w:rsidRPr="00B2252A">
              <w:rPr>
                <w:b/>
                <w:bCs/>
                <w:sz w:val="28"/>
                <w:szCs w:val="28"/>
              </w:rPr>
              <w:t>Quy định của dự thảo văn bản</w:t>
            </w:r>
          </w:p>
        </w:tc>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BF69A45" w14:textId="1C5BA18F" w:rsidR="00B2252A" w:rsidRPr="00B2252A" w:rsidRDefault="00B2252A" w:rsidP="00B2252A">
            <w:pPr>
              <w:spacing w:before="120" w:after="120"/>
              <w:jc w:val="center"/>
              <w:rPr>
                <w:sz w:val="28"/>
                <w:szCs w:val="28"/>
              </w:rPr>
            </w:pPr>
            <w:r w:rsidRPr="00B2252A">
              <w:rPr>
                <w:b/>
                <w:bCs/>
                <w:sz w:val="28"/>
                <w:szCs w:val="28"/>
              </w:rPr>
              <w:t>Quy định của pháp luật hiện hành có liên quan</w:t>
            </w:r>
          </w:p>
        </w:tc>
        <w:tc>
          <w:tcPr>
            <w:tcW w:w="3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E892F0B" w14:textId="0251A7B8" w:rsidR="00B2252A" w:rsidRPr="00B2252A" w:rsidRDefault="00B2252A" w:rsidP="00B2252A">
            <w:pPr>
              <w:spacing w:before="120" w:after="120"/>
              <w:jc w:val="center"/>
              <w:rPr>
                <w:sz w:val="28"/>
                <w:szCs w:val="28"/>
              </w:rPr>
            </w:pPr>
            <w:r w:rsidRPr="00B2252A">
              <w:rPr>
                <w:b/>
                <w:bCs/>
                <w:sz w:val="28"/>
                <w:szCs w:val="28"/>
              </w:rPr>
              <w:t>Đánh giá / Đề xuất xử lý</w:t>
            </w:r>
          </w:p>
        </w:tc>
      </w:tr>
      <w:tr w:rsidR="00E343EF" w:rsidRPr="00B2252A" w14:paraId="65026E3A" w14:textId="77777777">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5207D50" w14:textId="77777777" w:rsidR="00E343EF" w:rsidRPr="00B2252A" w:rsidRDefault="00000000" w:rsidP="00B2252A">
            <w:pPr>
              <w:spacing w:before="120" w:after="120"/>
              <w:jc w:val="both"/>
              <w:rPr>
                <w:sz w:val="28"/>
                <w:szCs w:val="28"/>
              </w:rPr>
            </w:pPr>
            <w:r w:rsidRPr="00B2252A">
              <w:rPr>
                <w:sz w:val="28"/>
                <w:szCs w:val="28"/>
              </w:rPr>
              <w:t>Điểm b khoản 1 Điều 15 Luật số 72/2025/QH15; điểm c khoản 1 Điều 21 Luật số 64/2025/QH15 (thẩm quyền HĐND tỉnh); toàn bộ nội dung Quy định kèm theo</w:t>
            </w:r>
          </w:p>
        </w:tc>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A742321" w14:textId="77777777" w:rsidR="00E343EF" w:rsidRPr="00B2252A" w:rsidRDefault="00000000" w:rsidP="00B2252A">
            <w:pPr>
              <w:spacing w:before="120" w:after="120"/>
              <w:jc w:val="both"/>
              <w:rPr>
                <w:sz w:val="28"/>
                <w:szCs w:val="28"/>
              </w:rPr>
            </w:pPr>
            <w:r w:rsidRPr="00B2252A">
              <w:rPr>
                <w:sz w:val="28"/>
                <w:szCs w:val="28"/>
              </w:rPr>
              <w:t>Luật số 93/2025/QH15; Luật Chuyển giao công nghệ (sửa đổi); Luật Công nghệ cao số 133/2025/QH15; các Nghị định hướng dẫn</w:t>
            </w:r>
          </w:p>
        </w:tc>
        <w:tc>
          <w:tcPr>
            <w:tcW w:w="3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4748440" w14:textId="77777777" w:rsidR="00E343EF" w:rsidRPr="00B2252A" w:rsidRDefault="00000000" w:rsidP="00B2252A">
            <w:pPr>
              <w:spacing w:before="120" w:after="120"/>
              <w:jc w:val="both"/>
              <w:rPr>
                <w:sz w:val="28"/>
                <w:szCs w:val="28"/>
              </w:rPr>
            </w:pPr>
            <w:r w:rsidRPr="00B2252A">
              <w:rPr>
                <w:sz w:val="28"/>
                <w:szCs w:val="28"/>
              </w:rPr>
              <w:t>Bảo đảm tính hợp hiến, hợp pháp, thống nhất; không đề xuất xử lý thêm</w:t>
            </w:r>
          </w:p>
        </w:tc>
      </w:tr>
    </w:tbl>
    <w:p w14:paraId="560F5D98" w14:textId="77777777" w:rsidR="00E343EF" w:rsidRPr="00B2252A" w:rsidRDefault="00000000" w:rsidP="00B2252A">
      <w:pPr>
        <w:spacing w:before="120" w:after="120"/>
        <w:ind w:firstLine="720"/>
        <w:jc w:val="both"/>
        <w:rPr>
          <w:sz w:val="28"/>
          <w:szCs w:val="28"/>
        </w:rPr>
      </w:pPr>
      <w:r w:rsidRPr="00B2252A">
        <w:rPr>
          <w:b/>
          <w:bCs/>
          <w:sz w:val="28"/>
          <w:szCs w:val="28"/>
        </w:rPr>
        <w:t>3. Điều ước quốc tế có liên quan đến chính sách/dự thảo</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3200"/>
        <w:gridCol w:w="3000"/>
      </w:tblGrid>
      <w:tr w:rsidR="00B2252A" w:rsidRPr="00B2252A" w14:paraId="1850A0A3" w14:textId="77777777">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2269DB6" w14:textId="66B708A9" w:rsidR="00B2252A" w:rsidRPr="00B2252A" w:rsidRDefault="00B2252A" w:rsidP="00B2252A">
            <w:pPr>
              <w:spacing w:before="120" w:after="120"/>
              <w:jc w:val="center"/>
              <w:rPr>
                <w:sz w:val="28"/>
                <w:szCs w:val="28"/>
              </w:rPr>
            </w:pPr>
            <w:r w:rsidRPr="00B2252A">
              <w:rPr>
                <w:b/>
                <w:bCs/>
                <w:sz w:val="28"/>
                <w:szCs w:val="28"/>
              </w:rPr>
              <w:t>Quy định của dự thảo văn bản</w:t>
            </w:r>
          </w:p>
        </w:tc>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E7CEE71" w14:textId="16D43754" w:rsidR="00B2252A" w:rsidRPr="00B2252A" w:rsidRDefault="00B2252A" w:rsidP="00B2252A">
            <w:pPr>
              <w:spacing w:before="120" w:after="120"/>
              <w:jc w:val="center"/>
              <w:rPr>
                <w:sz w:val="28"/>
                <w:szCs w:val="28"/>
              </w:rPr>
            </w:pPr>
            <w:r w:rsidRPr="00B2252A">
              <w:rPr>
                <w:b/>
                <w:bCs/>
                <w:sz w:val="28"/>
                <w:szCs w:val="28"/>
              </w:rPr>
              <w:t>Quy định của điều ước quốc tế có liên quan</w:t>
            </w:r>
          </w:p>
        </w:tc>
        <w:tc>
          <w:tcPr>
            <w:tcW w:w="3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9D415AF" w14:textId="665B55A0" w:rsidR="00B2252A" w:rsidRPr="00B2252A" w:rsidRDefault="00B2252A" w:rsidP="00B2252A">
            <w:pPr>
              <w:spacing w:before="120" w:after="120"/>
              <w:jc w:val="center"/>
              <w:rPr>
                <w:sz w:val="28"/>
                <w:szCs w:val="28"/>
              </w:rPr>
            </w:pPr>
            <w:r w:rsidRPr="00B2252A">
              <w:rPr>
                <w:b/>
                <w:bCs/>
                <w:sz w:val="28"/>
                <w:szCs w:val="28"/>
              </w:rPr>
              <w:t>Đánh giá / Đề xuất xử lý</w:t>
            </w:r>
          </w:p>
        </w:tc>
      </w:tr>
      <w:tr w:rsidR="00E343EF" w:rsidRPr="00B2252A" w14:paraId="1240D4CE" w14:textId="77777777">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04CF9E9" w14:textId="77777777" w:rsidR="00E343EF" w:rsidRPr="00B2252A" w:rsidRDefault="00000000" w:rsidP="00B2252A">
            <w:pPr>
              <w:spacing w:before="120" w:after="120"/>
              <w:jc w:val="both"/>
              <w:rPr>
                <w:sz w:val="28"/>
                <w:szCs w:val="28"/>
              </w:rPr>
            </w:pPr>
            <w:r w:rsidRPr="00B2252A">
              <w:rPr>
                <w:sz w:val="28"/>
                <w:szCs w:val="28"/>
              </w:rPr>
              <w:t>Không có nội dung liên quan trực tiếp</w:t>
            </w:r>
          </w:p>
        </w:tc>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41C4361" w14:textId="77777777" w:rsidR="00E343EF" w:rsidRPr="00B2252A" w:rsidRDefault="00000000" w:rsidP="00B2252A">
            <w:pPr>
              <w:spacing w:before="120" w:after="120"/>
              <w:jc w:val="both"/>
              <w:rPr>
                <w:sz w:val="28"/>
                <w:szCs w:val="28"/>
              </w:rPr>
            </w:pPr>
            <w:r w:rsidRPr="00B2252A">
              <w:rPr>
                <w:sz w:val="28"/>
                <w:szCs w:val="28"/>
              </w:rPr>
              <w:t>Không có điều ước quốc tế trực tiếp điều chỉnh</w:t>
            </w:r>
          </w:p>
        </w:tc>
        <w:tc>
          <w:tcPr>
            <w:tcW w:w="3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B518AA6" w14:textId="77777777" w:rsidR="00E343EF" w:rsidRPr="00B2252A" w:rsidRDefault="00000000" w:rsidP="00B2252A">
            <w:pPr>
              <w:spacing w:before="120" w:after="120"/>
              <w:jc w:val="both"/>
              <w:rPr>
                <w:sz w:val="28"/>
                <w:szCs w:val="28"/>
              </w:rPr>
            </w:pPr>
            <w:r w:rsidRPr="00B2252A">
              <w:rPr>
                <w:sz w:val="28"/>
                <w:szCs w:val="28"/>
              </w:rPr>
              <w:t>Không phát sinh vấn đề tương thích; không đề xuất xử lý</w:t>
            </w:r>
          </w:p>
        </w:tc>
      </w:tr>
    </w:tbl>
    <w:p w14:paraId="5C3095C9" w14:textId="77777777" w:rsidR="00583BE2" w:rsidRPr="00B2252A" w:rsidRDefault="00583BE2" w:rsidP="00B2252A">
      <w:pPr>
        <w:jc w:val="both"/>
        <w:rPr>
          <w:sz w:val="28"/>
          <w:szCs w:val="28"/>
        </w:rPr>
      </w:pPr>
    </w:p>
    <w:sectPr w:rsidR="00583BE2" w:rsidRPr="00B2252A" w:rsidSect="00B2252A">
      <w:headerReference w:type="even" r:id="rId7"/>
      <w:headerReference w:type="default" r:id="rId8"/>
      <w:pgSz w:w="11907" w:h="16840"/>
      <w:pgMar w:top="1134" w:right="1134" w:bottom="1134" w:left="170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56C4B" w14:textId="77777777" w:rsidR="006D7C66" w:rsidRDefault="006D7C66" w:rsidP="00B2252A">
      <w:r>
        <w:separator/>
      </w:r>
    </w:p>
  </w:endnote>
  <w:endnote w:type="continuationSeparator" w:id="0">
    <w:p w14:paraId="0AA90BD7" w14:textId="77777777" w:rsidR="006D7C66" w:rsidRDefault="006D7C66" w:rsidP="00B22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84EB5" w14:textId="77777777" w:rsidR="006D7C66" w:rsidRDefault="006D7C66" w:rsidP="00B2252A">
      <w:r>
        <w:separator/>
      </w:r>
    </w:p>
  </w:footnote>
  <w:footnote w:type="continuationSeparator" w:id="0">
    <w:p w14:paraId="2AD00762" w14:textId="77777777" w:rsidR="006D7C66" w:rsidRDefault="006D7C66" w:rsidP="00B22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58147571"/>
      <w:docPartObj>
        <w:docPartGallery w:val="Page Numbers (Top of Page)"/>
        <w:docPartUnique/>
      </w:docPartObj>
    </w:sdtPr>
    <w:sdtContent>
      <w:p w14:paraId="2986B76C" w14:textId="588B6FD9" w:rsidR="00B2252A" w:rsidRDefault="00B2252A" w:rsidP="005472AB">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sidR="00000000">
          <w:rPr>
            <w:rStyle w:val="PageNumber"/>
          </w:rPr>
          <w:fldChar w:fldCharType="separate"/>
        </w:r>
        <w:r>
          <w:rPr>
            <w:rStyle w:val="PageNumber"/>
          </w:rPr>
          <w:fldChar w:fldCharType="end"/>
        </w:r>
      </w:p>
    </w:sdtContent>
  </w:sdt>
  <w:p w14:paraId="414FB2AF" w14:textId="77777777" w:rsidR="00B2252A" w:rsidRDefault="00B225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9259336"/>
      <w:docPartObj>
        <w:docPartGallery w:val="Page Numbers (Top of Page)"/>
        <w:docPartUnique/>
      </w:docPartObj>
    </w:sdtPr>
    <w:sdtContent>
      <w:p w14:paraId="7ED4AD03" w14:textId="18F29A80" w:rsidR="00B2252A" w:rsidRDefault="00B2252A" w:rsidP="005472AB">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D7A7B30" w14:textId="77777777" w:rsidR="00B2252A" w:rsidRDefault="00B225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64583"/>
    <w:multiLevelType w:val="hybridMultilevel"/>
    <w:tmpl w:val="FC0E641A"/>
    <w:lvl w:ilvl="0" w:tplc="CFBCEC30">
      <w:start w:val="1"/>
      <w:numFmt w:val="bullet"/>
      <w:lvlText w:val="●"/>
      <w:lvlJc w:val="left"/>
      <w:pPr>
        <w:ind w:left="720" w:hanging="360"/>
      </w:pPr>
    </w:lvl>
    <w:lvl w:ilvl="1" w:tplc="933E2C22">
      <w:start w:val="1"/>
      <w:numFmt w:val="bullet"/>
      <w:lvlText w:val="○"/>
      <w:lvlJc w:val="left"/>
      <w:pPr>
        <w:ind w:left="1440" w:hanging="360"/>
      </w:pPr>
    </w:lvl>
    <w:lvl w:ilvl="2" w:tplc="87207F6A">
      <w:start w:val="1"/>
      <w:numFmt w:val="bullet"/>
      <w:lvlText w:val="■"/>
      <w:lvlJc w:val="left"/>
      <w:pPr>
        <w:ind w:left="2160" w:hanging="360"/>
      </w:pPr>
    </w:lvl>
    <w:lvl w:ilvl="3" w:tplc="8E528098">
      <w:start w:val="1"/>
      <w:numFmt w:val="bullet"/>
      <w:lvlText w:val="●"/>
      <w:lvlJc w:val="left"/>
      <w:pPr>
        <w:ind w:left="2880" w:hanging="360"/>
      </w:pPr>
    </w:lvl>
    <w:lvl w:ilvl="4" w:tplc="C81EBFAA">
      <w:start w:val="1"/>
      <w:numFmt w:val="bullet"/>
      <w:lvlText w:val="○"/>
      <w:lvlJc w:val="left"/>
      <w:pPr>
        <w:ind w:left="3600" w:hanging="360"/>
      </w:pPr>
    </w:lvl>
    <w:lvl w:ilvl="5" w:tplc="79961560">
      <w:start w:val="1"/>
      <w:numFmt w:val="bullet"/>
      <w:lvlText w:val="■"/>
      <w:lvlJc w:val="left"/>
      <w:pPr>
        <w:ind w:left="4320" w:hanging="360"/>
      </w:pPr>
    </w:lvl>
    <w:lvl w:ilvl="6" w:tplc="55A88CF2">
      <w:start w:val="1"/>
      <w:numFmt w:val="bullet"/>
      <w:lvlText w:val="●"/>
      <w:lvlJc w:val="left"/>
      <w:pPr>
        <w:ind w:left="5040" w:hanging="360"/>
      </w:pPr>
    </w:lvl>
    <w:lvl w:ilvl="7" w:tplc="9AF06EC4">
      <w:start w:val="1"/>
      <w:numFmt w:val="bullet"/>
      <w:lvlText w:val="●"/>
      <w:lvlJc w:val="left"/>
      <w:pPr>
        <w:ind w:left="5760" w:hanging="360"/>
      </w:pPr>
    </w:lvl>
    <w:lvl w:ilvl="8" w:tplc="D5A82EC2">
      <w:start w:val="1"/>
      <w:numFmt w:val="bullet"/>
      <w:lvlText w:val="●"/>
      <w:lvlJc w:val="left"/>
      <w:pPr>
        <w:ind w:left="6480" w:hanging="360"/>
      </w:pPr>
    </w:lvl>
  </w:abstractNum>
  <w:num w:numId="1" w16cid:durableId="15207770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3EF"/>
    <w:rsid w:val="00085856"/>
    <w:rsid w:val="000D5F98"/>
    <w:rsid w:val="001E7ABC"/>
    <w:rsid w:val="003704E5"/>
    <w:rsid w:val="00434C8D"/>
    <w:rsid w:val="00583BE2"/>
    <w:rsid w:val="006D7C66"/>
    <w:rsid w:val="00785D95"/>
    <w:rsid w:val="008F36E8"/>
    <w:rsid w:val="00B2252A"/>
    <w:rsid w:val="00B84B74"/>
    <w:rsid w:val="00E343EF"/>
    <w:rsid w:val="00F26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174FB"/>
  <w15:docId w15:val="{00E8F63D-6049-5F4B-97C2-0DA74BD1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2252A"/>
    <w:pPr>
      <w:tabs>
        <w:tab w:val="center" w:pos="4680"/>
        <w:tab w:val="right" w:pos="9360"/>
      </w:tabs>
    </w:pPr>
  </w:style>
  <w:style w:type="character" w:customStyle="1" w:styleId="HeaderChar">
    <w:name w:val="Header Char"/>
    <w:basedOn w:val="DefaultParagraphFont"/>
    <w:link w:val="Header"/>
    <w:uiPriority w:val="99"/>
    <w:rsid w:val="00B2252A"/>
  </w:style>
  <w:style w:type="character" w:styleId="PageNumber">
    <w:name w:val="page number"/>
    <w:basedOn w:val="DefaultParagraphFont"/>
    <w:uiPriority w:val="99"/>
    <w:semiHidden/>
    <w:unhideWhenUsed/>
    <w:rsid w:val="00B22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1042</Words>
  <Characters>5943</Characters>
  <Application>Microsoft Office Word</Application>
  <DocSecurity>0</DocSecurity>
  <Lines>49</Lines>
  <Paragraphs>13</Paragraphs>
  <ScaleCrop>false</ScaleCrop>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Administrator</cp:lastModifiedBy>
  <cp:revision>3</cp:revision>
  <dcterms:created xsi:type="dcterms:W3CDTF">2026-08-14T07:24:00Z</dcterms:created>
  <dcterms:modified xsi:type="dcterms:W3CDTF">2026-08-14T07:47:00Z</dcterms:modified>
</cp:coreProperties>
</file>