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0" w:type="dxa"/>
        <w:tblCellMar>
          <w:left w:w="10" w:type="dxa"/>
          <w:right w:w="10" w:type="dxa"/>
        </w:tblCellMar>
        <w:tblLook w:val="0000" w:firstRow="0" w:lastRow="0" w:firstColumn="0" w:lastColumn="0" w:noHBand="0" w:noVBand="0"/>
      </w:tblPr>
      <w:tblGrid>
        <w:gridCol w:w="3397"/>
        <w:gridCol w:w="6003"/>
      </w:tblGrid>
      <w:tr w:rsidR="00BD2881" w14:paraId="3C19AC71" w14:textId="77777777" w:rsidTr="00C108A0">
        <w:tc>
          <w:tcPr>
            <w:tcW w:w="3397" w:type="dxa"/>
            <w:tcMar>
              <w:top w:w="60" w:type="dxa"/>
              <w:left w:w="60" w:type="dxa"/>
              <w:bottom w:w="60" w:type="dxa"/>
              <w:right w:w="60" w:type="dxa"/>
            </w:tcMar>
          </w:tcPr>
          <w:p w14:paraId="2B3BED0A" w14:textId="3135BB7C" w:rsidR="00BD2881" w:rsidRPr="00C108A0" w:rsidRDefault="00C108A0" w:rsidP="00C108A0">
            <w:pPr>
              <w:spacing w:after="20"/>
              <w:jc w:val="center"/>
              <w:rPr>
                <w:sz w:val="26"/>
                <w:szCs w:val="26"/>
              </w:rPr>
            </w:pPr>
            <w:r>
              <w:rPr>
                <w:b/>
                <w:bCs/>
                <w:noProof/>
                <w:sz w:val="26"/>
                <w:szCs w:val="26"/>
              </w:rPr>
              <mc:AlternateContent>
                <mc:Choice Requires="wps">
                  <w:drawing>
                    <wp:anchor distT="0" distB="0" distL="114300" distR="114300" simplePos="0" relativeHeight="251659264" behindDoc="0" locked="0" layoutInCell="1" allowOverlap="1" wp14:anchorId="7566503F" wp14:editId="43AE3604">
                      <wp:simplePos x="0" y="0"/>
                      <wp:positionH relativeFrom="column">
                        <wp:posOffset>567690</wp:posOffset>
                      </wp:positionH>
                      <wp:positionV relativeFrom="paragraph">
                        <wp:posOffset>394335</wp:posOffset>
                      </wp:positionV>
                      <wp:extent cx="866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9BDF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7pt,31.05pt" to="112.9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V4mQEAAIcDAAAOAAAAZHJzL2Uyb0RvYy54bWysU9uO0zAQfUfiHyy/06Qr0V1FTfdhV/CC&#10;YMXlA7zOuLGwPdbYNOnfM3bbFAFCCPHi+HLOmTkzk+397J04ACWLoZfrVSsFBI2DDftefvn85tWd&#10;FCmrMCiHAXp5hCTvdy9fbKfYwQ2O6AYgwSIhdVPs5Zhz7Jom6RG8SiuMEPjRIHmV+Uj7ZiA1sbp3&#10;zU3bbpoJaYiEGlLi28fTo9xVfWNA5w/GJMjC9ZJzy3Wluj6XtdltVbcnFUerz2mof8jCKxs46CL1&#10;qLIS38j+IuWtJkxo8kqjb9AYq6F6YDfr9ic3n0YVoXrh4qS4lCn9P1n9/vAQnojLMMXUpfhExcVs&#10;yJcv5yfmWqzjUiyYs9B8ebfZ3N6+lkJfnporL1LKbwG9KJteOhuKDdWpw7uUORZDLxA+XCPXXT46&#10;KGAXPoIRduBY68quQwEPjsRBcTuHr+vSPtaqyEIx1rmF1P6ZdMYWGtRB+Vvigq4RMeSF6G1A+l3U&#10;PF9SNSf8xfXJa7H9jMOx9qGWg7tdnZ0ns4zTj+dKv/4/u+8AAAD//wMAUEsDBBQABgAIAAAAIQD7&#10;18Io3QAAAAgBAAAPAAAAZHJzL2Rvd25yZXYueG1sTI/BTsMwEETvSPyDtUjcqFMLojbEqapKCHFB&#10;NIW7G2+dQLyObCcNf48Rh3KcndHM23Iz255N6EPnSMJykQFDapzuyEh4PzzdrYCFqEir3hFK+MYA&#10;m+r6qlSFdmfa41RHw1IJhUJJaGMcCs5D06JVYeEGpOSdnLcqJukN116dU7ntuciynFvVUVpo1YC7&#10;FpuverQS+hc/fZid2YbxeZ/Xn28n8XqYpLy9mbePwCLO8RKGX/yEDlViOrqRdGC9hNX6PiUl5GIJ&#10;LPlCPKyBHf8OvCr5/weqHwAAAP//AwBQSwECLQAUAAYACAAAACEAtoM4kv4AAADhAQAAEwAAAAAA&#10;AAAAAAAAAAAAAAAAW0NvbnRlbnRfVHlwZXNdLnhtbFBLAQItABQABgAIAAAAIQA4/SH/1gAAAJQB&#10;AAALAAAAAAAAAAAAAAAAAC8BAABfcmVscy8ucmVsc1BLAQItABQABgAIAAAAIQDlO6V4mQEAAIcD&#10;AAAOAAAAAAAAAAAAAAAAAC4CAABkcnMvZTJvRG9jLnhtbFBLAQItABQABgAIAAAAIQD718Io3QAA&#10;AAgBAAAPAAAAAAAAAAAAAAAAAPMDAABkcnMvZG93bnJldi54bWxQSwUGAAAAAAQABADzAAAA/QQA&#10;AAAA&#10;" strokecolor="black [3200]" strokeweight=".5pt">
                      <v:stroke joinstyle="miter"/>
                    </v:line>
                  </w:pict>
                </mc:Fallback>
              </mc:AlternateContent>
            </w:r>
            <w:r w:rsidRPr="00C108A0">
              <w:rPr>
                <w:b/>
                <w:bCs/>
                <w:sz w:val="26"/>
                <w:szCs w:val="26"/>
              </w:rPr>
              <w:t xml:space="preserve">ỦY BAN NHÂN DÂN </w:t>
            </w:r>
            <w:r>
              <w:rPr>
                <w:b/>
                <w:bCs/>
                <w:sz w:val="26"/>
                <w:szCs w:val="26"/>
              </w:rPr>
              <w:t xml:space="preserve">  </w:t>
            </w:r>
            <w:r w:rsidRPr="00C108A0">
              <w:rPr>
                <w:b/>
                <w:bCs/>
                <w:sz w:val="26"/>
                <w:szCs w:val="26"/>
              </w:rPr>
              <w:t>TỈNH AN GIANG</w:t>
            </w:r>
          </w:p>
        </w:tc>
        <w:tc>
          <w:tcPr>
            <w:tcW w:w="6003" w:type="dxa"/>
            <w:tcMar>
              <w:top w:w="60" w:type="dxa"/>
              <w:left w:w="60" w:type="dxa"/>
              <w:bottom w:w="60" w:type="dxa"/>
              <w:right w:w="60" w:type="dxa"/>
            </w:tcMar>
          </w:tcPr>
          <w:p w14:paraId="35015986" w14:textId="77777777" w:rsidR="00BD2881" w:rsidRPr="00C108A0" w:rsidRDefault="00000000">
            <w:pPr>
              <w:spacing w:after="20"/>
              <w:jc w:val="center"/>
              <w:rPr>
                <w:sz w:val="26"/>
                <w:szCs w:val="26"/>
              </w:rPr>
            </w:pPr>
            <w:r w:rsidRPr="00C108A0">
              <w:rPr>
                <w:b/>
                <w:bCs/>
                <w:sz w:val="26"/>
                <w:szCs w:val="26"/>
              </w:rPr>
              <w:t>CỘNG HÒA XÃ HỘI CHỦ NGHĨA VIỆT NAM</w:t>
            </w:r>
          </w:p>
          <w:p w14:paraId="592A0549" w14:textId="7C955780" w:rsidR="00BD2881" w:rsidRPr="00C108A0" w:rsidRDefault="00C108A0" w:rsidP="00C108A0">
            <w:pPr>
              <w:spacing w:after="20"/>
              <w:jc w:val="cente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084AD565" wp14:editId="13DFB813">
                      <wp:simplePos x="0" y="0"/>
                      <wp:positionH relativeFrom="column">
                        <wp:posOffset>781685</wp:posOffset>
                      </wp:positionH>
                      <wp:positionV relativeFrom="paragraph">
                        <wp:posOffset>229870</wp:posOffset>
                      </wp:positionV>
                      <wp:extent cx="2143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68A40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55pt,18.1pt" to="230.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Fk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qVZnnMmj2/ViRgwplvwluVNx4122YdoxfZ7TBSMoEcIHU6hyy7t&#10;DGSwcfegmO4pWFPYZSrg2iDbCupn/9Lk/pFWQWaK0sbMpPrvpAM206BMyr8SZ3SJ6F2aiVY7j3+K&#10;mqZjqmqPP7ree822n32/K40o5aB2F2eH0czz9PZc6KcfaP0KAAD//wMAUEsDBBQABgAIAAAAIQA7&#10;k76I3QAAAAkBAAAPAAAAZHJzL2Rvd25yZXYueG1sTI/BTsMwDIbvSLxDZCRuLF2HKlSaTtMkhLgg&#10;1sE9a7y0W+JUSdqVtyeIAzv+9qffn6v1bA2b0IfekYDlIgOG1DrVkxbwuX95eAIWoiQljSMU8I0B&#10;1vXtTSVL5S60w6mJmqUSCqUU0MU4lJyHtkMrw8INSGl3dN7KmKLXXHl5SeXW8DzLCm5lT+lCJwfc&#10;dtiem9EKMG9++tJbvQnj665oTh/H/H0/CXF/N2+egUWc4z8Mv/pJHerkdHAjqcBMyvlqmVABqyIH&#10;loDHIiuAHf4GvK749Qf1DwAAAP//AwBQSwECLQAUAAYACAAAACEAtoM4kv4AAADhAQAAEwAAAAAA&#10;AAAAAAAAAAAAAAAAW0NvbnRlbnRfVHlwZXNdLnhtbFBLAQItABQABgAIAAAAIQA4/SH/1gAAAJQB&#10;AAALAAAAAAAAAAAAAAAAAC8BAABfcmVscy8ucmVsc1BLAQItABQABgAIAAAAIQBcNbFkmQEAAIgD&#10;AAAOAAAAAAAAAAAAAAAAAC4CAABkcnMvZTJvRG9jLnhtbFBLAQItABQABgAIAAAAIQA7k76I3QAA&#10;AAkBAAAPAAAAAAAAAAAAAAAAAPMDAABkcnMvZG93bnJldi54bWxQSwUGAAAAAAQABADzAAAA/QQA&#10;AAAA&#10;" strokecolor="black [3200]" strokeweight=".5pt">
                      <v:stroke joinstyle="miter"/>
                    </v:line>
                  </w:pict>
                </mc:Fallback>
              </mc:AlternateContent>
            </w:r>
            <w:r w:rsidRPr="00C108A0">
              <w:rPr>
                <w:b/>
                <w:bCs/>
                <w:sz w:val="28"/>
                <w:szCs w:val="28"/>
              </w:rPr>
              <w:t>Độc lập - Tự do - Hạnh phúc</w:t>
            </w:r>
          </w:p>
        </w:tc>
      </w:tr>
      <w:tr w:rsidR="00C108A0" w14:paraId="21EC3000" w14:textId="77777777" w:rsidTr="00C108A0">
        <w:tc>
          <w:tcPr>
            <w:tcW w:w="3397" w:type="dxa"/>
            <w:tcMar>
              <w:top w:w="60" w:type="dxa"/>
              <w:left w:w="60" w:type="dxa"/>
              <w:bottom w:w="60" w:type="dxa"/>
              <w:right w:w="60" w:type="dxa"/>
            </w:tcMar>
          </w:tcPr>
          <w:p w14:paraId="1B147776" w14:textId="3DE60C29" w:rsidR="00C108A0" w:rsidRPr="00C108A0" w:rsidRDefault="00C108A0" w:rsidP="00C108A0">
            <w:pPr>
              <w:spacing w:before="120"/>
              <w:jc w:val="center"/>
              <w:rPr>
                <w:b/>
                <w:bCs/>
                <w:sz w:val="28"/>
                <w:szCs w:val="28"/>
              </w:rPr>
            </w:pPr>
            <w:r w:rsidRPr="00C108A0">
              <w:rPr>
                <w:sz w:val="28"/>
                <w:szCs w:val="28"/>
              </w:rPr>
              <w:t>Số: ……/BC-UBND</w:t>
            </w:r>
          </w:p>
        </w:tc>
        <w:tc>
          <w:tcPr>
            <w:tcW w:w="6003" w:type="dxa"/>
            <w:tcMar>
              <w:top w:w="60" w:type="dxa"/>
              <w:left w:w="60" w:type="dxa"/>
              <w:bottom w:w="60" w:type="dxa"/>
              <w:right w:w="60" w:type="dxa"/>
            </w:tcMar>
          </w:tcPr>
          <w:p w14:paraId="7B37ACC6" w14:textId="0F9F0DC4" w:rsidR="00C108A0" w:rsidRPr="00C108A0" w:rsidRDefault="00C108A0" w:rsidP="00C108A0">
            <w:pPr>
              <w:spacing w:before="120"/>
              <w:jc w:val="center"/>
              <w:rPr>
                <w:b/>
                <w:bCs/>
                <w:i/>
                <w:iCs/>
                <w:sz w:val="28"/>
                <w:szCs w:val="28"/>
              </w:rPr>
            </w:pPr>
            <w:proofErr w:type="gramStart"/>
            <w:r w:rsidRPr="00C108A0">
              <w:rPr>
                <w:i/>
                <w:iCs/>
                <w:sz w:val="28"/>
                <w:szCs w:val="28"/>
              </w:rPr>
              <w:t>An</w:t>
            </w:r>
            <w:proofErr w:type="gramEnd"/>
            <w:r w:rsidRPr="00C108A0">
              <w:rPr>
                <w:i/>
                <w:iCs/>
                <w:sz w:val="28"/>
                <w:szCs w:val="28"/>
              </w:rPr>
              <w:t xml:space="preserve"> Giang, ngày …… tháng …… năm 2026</w:t>
            </w:r>
          </w:p>
        </w:tc>
      </w:tr>
    </w:tbl>
    <w:p w14:paraId="3FF94C9C" w14:textId="75305AF8" w:rsidR="00BD2881" w:rsidRDefault="00840B54">
      <w:pPr>
        <w:spacing w:after="200"/>
      </w:pPr>
      <w:r>
        <w:rPr>
          <w:noProof/>
        </w:rPr>
        <mc:AlternateContent>
          <mc:Choice Requires="wps">
            <w:drawing>
              <wp:anchor distT="0" distB="0" distL="114300" distR="114300" simplePos="0" relativeHeight="251661312" behindDoc="0" locked="0" layoutInCell="1" allowOverlap="1" wp14:anchorId="5B1EC18C" wp14:editId="65112114">
                <wp:simplePos x="0" y="0"/>
                <wp:positionH relativeFrom="column">
                  <wp:posOffset>177165</wp:posOffset>
                </wp:positionH>
                <wp:positionV relativeFrom="paragraph">
                  <wp:posOffset>-39370</wp:posOffset>
                </wp:positionV>
                <wp:extent cx="1133475" cy="2667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133475" cy="266700"/>
                        </a:xfrm>
                        <a:prstGeom prst="rect">
                          <a:avLst/>
                        </a:prstGeom>
                      </wps:spPr>
                      <wps:style>
                        <a:lnRef idx="2">
                          <a:schemeClr val="dk1"/>
                        </a:lnRef>
                        <a:fillRef idx="1">
                          <a:schemeClr val="lt1"/>
                        </a:fillRef>
                        <a:effectRef idx="0">
                          <a:schemeClr val="dk1"/>
                        </a:effectRef>
                        <a:fontRef idx="minor">
                          <a:schemeClr val="dk1"/>
                        </a:fontRef>
                      </wps:style>
                      <wps:txbx>
                        <w:txbxContent>
                          <w:p w14:paraId="60FD00B6" w14:textId="4BB6AA10" w:rsidR="00840B54" w:rsidRDefault="00840B54" w:rsidP="00840B54">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1EC18C" id="Rectangle 4" o:spid="_x0000_s1026" style="position:absolute;margin-left:13.95pt;margin-top:-3.1pt;width:89.25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n9UAIAAO8EAAAOAAAAZHJzL2Uyb0RvYy54bWysVMFu2zAMvQ/YPwi6L47TNN2COkWQosOA&#10;oC3aDj0rstQYk0WNUmJnXz9KdpyiK3YYdpFFkY8Unx59edXWhu0V+gpswfPRmDNlJZSVfSn496eb&#10;T58580HYUhiwquAH5fnV4uOHy8bN1QS2YEqFjJJYP29cwbchuHmWeblVtfAjcMqSUwPWIpCJL1mJ&#10;oqHstckm4/EsawBLhyCV93R63Tn5IuXXWslwp7VXgZmC091CWjGtm7hmi0sxf0HhtpXsryH+4Ra1&#10;qCwVHVJdiyDYDqs/UtWVRPCgw0hCnYHWlVSpB+omH7/p5nErnEq9EDneDTT5/5dW3u4f3T0SDY3z&#10;c0/b2EWrsY5fuh9rE1mHgSzVBibpMM/PzqYX55xJ8k1ms4txYjM7oR368FVBzeKm4EiPkTgS+7UP&#10;VJFCjyFknOqnXTgYFa9g7IPSrCqp4iShkzTUyiDbC3rU8kceH5FypcgI0ZUxAyh/D2TCEdTHRphK&#10;chmA4/eAp2pDdKoINgzAurKAfwfrLv7YdddrbDu0m7Z/iw2Uh3tkCJ1mvZM3FfG4Fj7cCySRkpxp&#10;8MIdLdpAU3Dod5xtAX+9dx7jSTvk5awh0Rfc/9wJVJyZb5ZU9SWfTuOUJGN6fjEhA197Nq89dlev&#10;gJ4gpxF3Mm1jfDDHrUaon2k+l7EquYSVVLvgMuDRWIVuGGnCpVouUxhNhhNhbR+djMkjwVEnT+2z&#10;QNeLKZAMb+E4IGL+RlNdbERaWO4C6CoJLlLc8dpTT1OVtNP/AeLYvrZT1Ok/tfgNAAD//wMAUEsD&#10;BBQABgAIAAAAIQCYd0Mi3gAAAAgBAAAPAAAAZHJzL2Rvd25yZXYueG1sTI8xT8MwFIR3JP6D9ZDY&#10;WpsAaZvGqSoEE6gVhaGjGz+SCPs5st0k/feYCcbTne6+KzeTNWxAHzpHEu7mAhhS7XRHjYTPj5fZ&#10;EliIirQyjlDCBQNsquurUhXajfSOwyE2LJVQKJSENsa+4DzULVoV5q5HSt6X81bFJH3DtVdjKreG&#10;Z0Lk3KqO0kKrenxqsf4+nK0Et+8uZutXu+ENF8fXfRTjlD9LeXszbdfAIk7xLwy/+AkdqsR0cmfS&#10;gRkJ2WKVkhJmeQYs+ZnIH4CdJNw/LoFXJf9/oPoBAAD//wMAUEsBAi0AFAAGAAgAAAAhALaDOJL+&#10;AAAA4QEAABMAAAAAAAAAAAAAAAAAAAAAAFtDb250ZW50X1R5cGVzXS54bWxQSwECLQAUAAYACAAA&#10;ACEAOP0h/9YAAACUAQAACwAAAAAAAAAAAAAAAAAvAQAAX3JlbHMvLnJlbHNQSwECLQAUAAYACAAA&#10;ACEAQEBJ/VACAADvBAAADgAAAAAAAAAAAAAAAAAuAgAAZHJzL2Uyb0RvYy54bWxQSwECLQAUAAYA&#10;CAAAACEAmHdDIt4AAAAIAQAADwAAAAAAAAAAAAAAAACqBAAAZHJzL2Rvd25yZXYueG1sUEsFBgAA&#10;AAAEAAQA8wAAALUFAAAAAA==&#10;" fillcolor="white [3201]" strokecolor="black [3200]" strokeweight="1pt">
                <v:textbox>
                  <w:txbxContent>
                    <w:p w14:paraId="60FD00B6" w14:textId="4BB6AA10" w:rsidR="00840B54" w:rsidRDefault="00840B54" w:rsidP="00840B54">
                      <w:pPr>
                        <w:jc w:val="center"/>
                      </w:pPr>
                      <w:r>
                        <w:t>DỰ THẢO</w:t>
                      </w:r>
                    </w:p>
                  </w:txbxContent>
                </v:textbox>
              </v:rect>
            </w:pict>
          </mc:Fallback>
        </mc:AlternateContent>
      </w:r>
    </w:p>
    <w:p w14:paraId="1F7DF8F1" w14:textId="3FAA64EC" w:rsidR="00BD2881" w:rsidRDefault="00000000" w:rsidP="00C108A0">
      <w:pPr>
        <w:spacing w:before="200" w:after="40"/>
        <w:jc w:val="center"/>
        <w:rPr>
          <w:sz w:val="16"/>
          <w:szCs w:val="16"/>
        </w:rPr>
      </w:pPr>
      <w:r w:rsidRPr="00C108A0">
        <w:rPr>
          <w:b/>
          <w:bCs/>
          <w:sz w:val="28"/>
          <w:szCs w:val="28"/>
        </w:rPr>
        <w:t>BẢN ĐÁNH GIÁ THỦ TỤC HÀNH CHÍNH, VIỆC PHÂN QUYỀN, PHÂN CẤP, VIỆC ỨNG DỤNG,</w:t>
      </w:r>
      <w:r w:rsidR="00C108A0" w:rsidRPr="00C108A0">
        <w:rPr>
          <w:b/>
          <w:bCs/>
          <w:sz w:val="28"/>
          <w:szCs w:val="28"/>
        </w:rPr>
        <w:t xml:space="preserve"> </w:t>
      </w:r>
      <w:r w:rsidRPr="00C108A0">
        <w:rPr>
          <w:b/>
          <w:bCs/>
          <w:sz w:val="28"/>
          <w:szCs w:val="28"/>
        </w:rPr>
        <w:t>THÚC ĐẨY PHÁT TRIỂN KHOA HỌC, CÔNG NGHỆ, ĐỔI MỚI SÁNG TẠO VÀ CHUYỂN ĐỔI SỐ,</w:t>
      </w:r>
      <w:r w:rsidR="00C108A0" w:rsidRPr="00C108A0">
        <w:rPr>
          <w:b/>
          <w:bCs/>
          <w:sz w:val="28"/>
          <w:szCs w:val="28"/>
        </w:rPr>
        <w:t xml:space="preserve"> </w:t>
      </w:r>
      <w:r w:rsidRPr="00C108A0">
        <w:rPr>
          <w:b/>
          <w:bCs/>
          <w:sz w:val="28"/>
          <w:szCs w:val="28"/>
        </w:rPr>
        <w:t xml:space="preserve">BẢO ĐẢM BÌNH ĐẲNG GIỚI, VIỆC THỰC HIỆN CHÍNH SÁCH DÂN TỘC </w:t>
      </w:r>
      <w:r w:rsidR="00C108A0">
        <w:rPr>
          <w:b/>
          <w:bCs/>
          <w:sz w:val="28"/>
          <w:szCs w:val="28"/>
        </w:rPr>
        <w:t xml:space="preserve">          </w:t>
      </w:r>
      <w:r w:rsidRPr="00C108A0">
        <w:rPr>
          <w:b/>
          <w:bCs/>
          <w:sz w:val="28"/>
          <w:szCs w:val="28"/>
        </w:rPr>
        <w:t>TRONG DỰ THẢO NGHỊ QUYẾT</w:t>
      </w:r>
    </w:p>
    <w:p w14:paraId="0919D051" w14:textId="77777777" w:rsidR="00C108A0" w:rsidRPr="00C108A0" w:rsidRDefault="00C108A0" w:rsidP="00C108A0">
      <w:pPr>
        <w:spacing w:before="200" w:after="40"/>
        <w:jc w:val="center"/>
        <w:rPr>
          <w:sz w:val="16"/>
          <w:szCs w:val="16"/>
        </w:rPr>
      </w:pPr>
    </w:p>
    <w:p w14:paraId="1B743135" w14:textId="77777777" w:rsidR="003D4AEC" w:rsidRPr="003D4AEC" w:rsidRDefault="003D4AEC" w:rsidP="003D4AEC">
      <w:pPr>
        <w:spacing w:before="120" w:after="120"/>
        <w:ind w:firstLine="709"/>
        <w:jc w:val="both"/>
        <w:rPr>
          <w:sz w:val="28"/>
          <w:szCs w:val="28"/>
        </w:rPr>
      </w:pPr>
      <w:r w:rsidRPr="003D4AEC">
        <w:rPr>
          <w:sz w:val="28"/>
          <w:szCs w:val="28"/>
        </w:rPr>
        <w:t>Thực hiện quy định của Luật Ban hành văn bản quy phạm pháp luật số 64/2025/QH15 được sửa đổi, bổ sung bởi Luật số 87/2025/QH15, Ủy ban nhân dân tỉnh An Giang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Nghị quyết quy định chính sách hỗ trợ ứng dụng, chuyển giao và đổi mới công nghệ trên địa bàn tỉnh An Giang giai đoạn 2026 - 2030. Kết quả như sau:</w:t>
      </w:r>
    </w:p>
    <w:p w14:paraId="53907EC4" w14:textId="77777777" w:rsidR="003D4AEC" w:rsidRPr="003D4AEC" w:rsidRDefault="003D4AEC" w:rsidP="003D4AEC">
      <w:pPr>
        <w:spacing w:before="120" w:after="120"/>
        <w:ind w:firstLine="709"/>
        <w:jc w:val="both"/>
        <w:rPr>
          <w:b/>
          <w:bCs/>
          <w:sz w:val="28"/>
          <w:szCs w:val="28"/>
        </w:rPr>
      </w:pPr>
      <w:r w:rsidRPr="003D4AEC">
        <w:rPr>
          <w:b/>
          <w:bCs/>
          <w:sz w:val="28"/>
          <w:szCs w:val="28"/>
        </w:rPr>
        <w:t>I. TỔ CHỨC THỰC HIỆN ĐÁNH GIÁ</w:t>
      </w:r>
    </w:p>
    <w:p w14:paraId="695C0E1A" w14:textId="77777777" w:rsidR="003D4AEC" w:rsidRPr="003D4AEC" w:rsidRDefault="003D4AEC" w:rsidP="003D4AEC">
      <w:pPr>
        <w:spacing w:before="120" w:after="120"/>
        <w:ind w:firstLine="709"/>
        <w:jc w:val="both"/>
        <w:rPr>
          <w:sz w:val="28"/>
          <w:szCs w:val="28"/>
        </w:rPr>
      </w:pPr>
      <w:r w:rsidRPr="003D4AEC">
        <w:rPr>
          <w:b/>
          <w:bCs/>
          <w:sz w:val="28"/>
          <w:szCs w:val="28"/>
        </w:rPr>
        <w:t>1. Bối cảnh xây dựng dự thảo văn bản quy phạm pháp luật</w:t>
      </w:r>
    </w:p>
    <w:p w14:paraId="0B95E0AD" w14:textId="77777777" w:rsidR="003D4AEC" w:rsidRPr="003D4AEC" w:rsidRDefault="003D4AEC" w:rsidP="003D4AEC">
      <w:pPr>
        <w:spacing w:before="120" w:after="120"/>
        <w:ind w:firstLine="709"/>
        <w:jc w:val="both"/>
        <w:rPr>
          <w:sz w:val="28"/>
          <w:szCs w:val="28"/>
        </w:rPr>
      </w:pPr>
      <w:r w:rsidRPr="003D4AEC">
        <w:rPr>
          <w:sz w:val="28"/>
          <w:szCs w:val="28"/>
        </w:rPr>
        <w:t>Dự thảo Nghị quyết được xây dựng để quy định chính sách hỗ trợ tài chính và phi tài chính cho các tổ chức (doanh nghiệp, hợp tác xã, tổ chức khoa học và công nghệ, tổ chức ngoài công lập, tổ chức trung gian thị trường khoa học và công nghệ) trên địa bàn tỉnh An Giang ứng dụng, chuyển giao, đổi mới công nghệ giai đoạn 2026 - 2030, thay thế chính sách trước đây đã hết hiệu lực, bảo đảm đúng thẩm quyền theo Luật số 64/2025/QH15.</w:t>
      </w:r>
    </w:p>
    <w:p w14:paraId="0FD90F89" w14:textId="77777777" w:rsidR="003D4AEC" w:rsidRPr="003D4AEC" w:rsidRDefault="003D4AEC" w:rsidP="003D4AEC">
      <w:pPr>
        <w:spacing w:before="120" w:after="120"/>
        <w:ind w:firstLine="709"/>
        <w:jc w:val="both"/>
        <w:rPr>
          <w:b/>
          <w:bCs/>
          <w:sz w:val="28"/>
          <w:szCs w:val="28"/>
        </w:rPr>
      </w:pPr>
      <w:r w:rsidRPr="003D4AEC">
        <w:rPr>
          <w:b/>
          <w:bCs/>
          <w:sz w:val="28"/>
          <w:szCs w:val="28"/>
        </w:rPr>
        <w:t>2. Mục đích, yêu cầu đánh giá</w:t>
      </w:r>
    </w:p>
    <w:p w14:paraId="1535C793" w14:textId="77777777" w:rsidR="003D4AEC" w:rsidRPr="003D4AEC" w:rsidRDefault="003D4AEC" w:rsidP="003D4AEC">
      <w:pPr>
        <w:spacing w:before="120" w:after="120"/>
        <w:ind w:firstLine="709"/>
        <w:jc w:val="both"/>
        <w:rPr>
          <w:sz w:val="28"/>
          <w:szCs w:val="28"/>
        </w:rPr>
      </w:pPr>
      <w:r w:rsidRPr="003D4AEC">
        <w:rPr>
          <w:sz w:val="28"/>
          <w:szCs w:val="28"/>
        </w:rPr>
        <w:t>Xác định dự thảo có quy định thủ tục hành chính mới hay không; đánh giá nội dung phân cấp giữa Hội đồng nhân dân và Ủy ban nhân dân tỉnh; đánh giá mức độ thúc đẩy ứng dụng khoa học, công nghệ, đổi mới sáng tạo, chuyển đổi số; bảo đảm không phân biệt đối xử về giới và phù hợp chính sách dân tộc, làm cơ sở để Sở Tư pháp thẩm định và Văn phòng Ủy ban nhân dân tỉnh cho ý kiến trước khi trình.</w:t>
      </w:r>
    </w:p>
    <w:p w14:paraId="4B360CD9" w14:textId="77777777" w:rsidR="003D4AEC" w:rsidRPr="003D4AEC" w:rsidRDefault="003D4AEC" w:rsidP="003D4AEC">
      <w:pPr>
        <w:spacing w:before="120" w:after="120"/>
        <w:ind w:firstLine="709"/>
        <w:jc w:val="both"/>
        <w:rPr>
          <w:b/>
          <w:bCs/>
          <w:sz w:val="28"/>
          <w:szCs w:val="28"/>
        </w:rPr>
      </w:pPr>
      <w:r w:rsidRPr="003D4AEC">
        <w:rPr>
          <w:b/>
          <w:bCs/>
          <w:sz w:val="28"/>
          <w:szCs w:val="28"/>
        </w:rPr>
        <w:t>II. KẾT QUẢ ĐÁNH GIÁ</w:t>
      </w:r>
    </w:p>
    <w:p w14:paraId="7397AE61" w14:textId="77777777" w:rsidR="003D4AEC" w:rsidRPr="003D4AEC" w:rsidRDefault="003D4AEC" w:rsidP="003D4AEC">
      <w:pPr>
        <w:spacing w:before="120" w:after="120"/>
        <w:ind w:firstLine="709"/>
        <w:jc w:val="both"/>
        <w:rPr>
          <w:sz w:val="28"/>
          <w:szCs w:val="28"/>
        </w:rPr>
      </w:pPr>
      <w:r w:rsidRPr="003D4AEC">
        <w:rPr>
          <w:b/>
          <w:bCs/>
          <w:sz w:val="28"/>
          <w:szCs w:val="28"/>
        </w:rPr>
        <w:t>1. Đánh giá thủ tục hành chính</w:t>
      </w:r>
    </w:p>
    <w:p w14:paraId="1D09BF5E" w14:textId="77777777" w:rsidR="003D4AEC" w:rsidRPr="003D4AEC" w:rsidRDefault="003D4AEC" w:rsidP="003D4AEC">
      <w:pPr>
        <w:spacing w:before="120" w:after="120"/>
        <w:ind w:firstLine="709"/>
        <w:jc w:val="both"/>
        <w:rPr>
          <w:sz w:val="28"/>
          <w:szCs w:val="28"/>
        </w:rPr>
      </w:pPr>
      <w:r w:rsidRPr="003D4AEC">
        <w:rPr>
          <w:sz w:val="28"/>
          <w:szCs w:val="28"/>
        </w:rPr>
        <w:t xml:space="preserve">Rà soát toàn bộ dự thảo Quy định (Điều 1 - Điều 10) cho thấy: dự thảo không quy định thủ tục hành chính mới, không sửa đổi, bổ sung hoặc bãi bỏ thủ tục hành chính hiện hành nào. Trình tự, thủ tục tiếp nhận, xét chọn, giao trực tiếp, ký hợp đồng, quản lý, nghiệm thu và quyết toán kinh phí nhiệm vụ khoa học và công nghệ tại Điều 6, Điều 7 Quy định được thực hiện theo thủ tục hành chính </w:t>
      </w:r>
      <w:r w:rsidRPr="003D4AEC">
        <w:rPr>
          <w:sz w:val="28"/>
          <w:szCs w:val="28"/>
        </w:rPr>
        <w:lastRenderedPageBreak/>
        <w:t>hiện hành đã được quy định tại Nghị định số 267/2025/NĐ-CP và Thông tư số 36/2025/TT-BKHCN; hình thức hỗ trợ tại Điều 8 Quy định thực hiện theo thủ tục hiện hành tại Nghị định số 268/2025/NĐ-CP và Thông tư số 38/2025/TT-BKHCN. Do dự thảo không làm phát sinh thủ tục hành chính mới nên không phải xây dựng Biểu mẫu đánh giá tác động thủ tục hành chính và Biểu mẫu tính chi phí tuân thủ thủ tục hành chính theo hướng dẫn của Bộ trưởng Bộ Tư pháp. Cách tiếp cận này (dẫn chiếu trình tự, thủ tục nhiệm vụ khoa học và công nghệ hiện hành, không quy định chi tiết trình tự riêng, thời hạn giải quyết hồ sơ cụ thể trong Quy định) là lựa chọn kỹ thuật lập quy đã được cân nhắc nhằm không làm phát sinh thủ tục hành chính mới, bảo đảm ổn định trong bối cảnh sắp xếp tổ chức bộ máy chính quyền địa phương.</w:t>
      </w:r>
    </w:p>
    <w:p w14:paraId="19FF4401" w14:textId="77777777" w:rsidR="003D4AEC" w:rsidRPr="003D4AEC" w:rsidRDefault="003D4AEC" w:rsidP="003D4AEC">
      <w:pPr>
        <w:spacing w:before="120" w:after="120"/>
        <w:ind w:firstLine="709"/>
        <w:jc w:val="both"/>
        <w:rPr>
          <w:b/>
          <w:bCs/>
          <w:sz w:val="28"/>
          <w:szCs w:val="28"/>
        </w:rPr>
      </w:pPr>
      <w:r w:rsidRPr="003D4AEC">
        <w:rPr>
          <w:b/>
          <w:bCs/>
          <w:sz w:val="28"/>
          <w:szCs w:val="28"/>
        </w:rPr>
        <w:t>2. Việc phân quyền, phân cấp</w:t>
      </w:r>
    </w:p>
    <w:p w14:paraId="70E09F72" w14:textId="77777777" w:rsidR="003D4AEC" w:rsidRPr="003D4AEC" w:rsidRDefault="003D4AEC" w:rsidP="003D4AEC">
      <w:pPr>
        <w:spacing w:before="120" w:after="120"/>
        <w:ind w:firstLine="709"/>
        <w:jc w:val="both"/>
        <w:rPr>
          <w:sz w:val="28"/>
          <w:szCs w:val="28"/>
        </w:rPr>
      </w:pPr>
      <w:r w:rsidRPr="003D4AEC">
        <w:rPr>
          <w:sz w:val="28"/>
          <w:szCs w:val="28"/>
        </w:rPr>
        <w:t>Dự thảo Nghị quyết có nội dung phân cấp từ Hội đồng nhân dân tỉnh cho Ủy ban nhân dân tỉnh tại khoản 1 Điều 10 Quy định: cân đối, bố trí ngân sách hằng năm; chỉ đạo cơ quan chuyên môn tổ chức triển khai, hướng dẫn, xét duyệt, nghiệm thu, quyết toán kinh phí. Sự cần thiết: bảo đảm tính linh hoạt trong tổ chức thực hiện chính sách khi điều kiện thực tiễn thay đổi mà không phải sửa đổi Nghị quyết; thẩm quyền ban hành chính sách khung của Hội đồng nhân dân tỉnh phù hợp điểm c khoản 1 Điều 21 Luật số 64/2025/QH15 và điểm b khoản 1 Điều 15 Luật Tổ chức chính quyền địa phương số 72/2025/QH15; việc giao Ủy ban nhân dân tỉnh tổ chức thực hiện là nội dung tự phân công nội bộ trong Nghị quyết. Điều kiện bảo đảm thực hiện: Ủy ban nhân dân tỉnh có cơ quan chuyên môn đủ năng lực để tham mưu, tổ chức thực hiện. Kiểm tra, giám sát sau phân cấp: khoản 2 Điều 10 Quy định yêu cầu Ủy ban nhân dân tỉnh phải báo cáo, trình Hội đồng nhân dân tỉnh xem xét khi cần điều chỉnh nội dung, mức hỗ trợ đã được Hội đồng nhân dân tỉnh quyết định, đồng thời quy định nguyên tắc áp dụng văn bản dẫn chiếu khi được sửa đổi, bổ sung, thay thế; Thường trực, các Ban, đại biểu Hội đồng nhân dân tỉnh giám sát việc thực hiện theo Điều 2 Nghị quyết.</w:t>
      </w:r>
    </w:p>
    <w:p w14:paraId="7451C462" w14:textId="77777777" w:rsidR="003D4AEC" w:rsidRPr="003D4AEC" w:rsidRDefault="003D4AEC" w:rsidP="003D4AEC">
      <w:pPr>
        <w:spacing w:before="120" w:after="120"/>
        <w:ind w:firstLine="709"/>
        <w:jc w:val="both"/>
        <w:rPr>
          <w:b/>
          <w:bCs/>
          <w:sz w:val="28"/>
          <w:szCs w:val="28"/>
        </w:rPr>
      </w:pPr>
      <w:r w:rsidRPr="003D4AEC">
        <w:rPr>
          <w:b/>
          <w:bCs/>
          <w:sz w:val="28"/>
          <w:szCs w:val="28"/>
        </w:rPr>
        <w:t>3. Việc ứng dụng, thúc đẩy phát triển khoa học, công nghệ, đổi mới sáng tạo và chuyển đổi số</w:t>
      </w:r>
    </w:p>
    <w:p w14:paraId="7FE7DA0F" w14:textId="77777777" w:rsidR="003D4AEC" w:rsidRPr="003D4AEC" w:rsidRDefault="003D4AEC" w:rsidP="003D4AEC">
      <w:pPr>
        <w:spacing w:before="120" w:after="120"/>
        <w:ind w:firstLine="709"/>
        <w:jc w:val="both"/>
        <w:rPr>
          <w:sz w:val="28"/>
          <w:szCs w:val="28"/>
        </w:rPr>
      </w:pPr>
      <w:r w:rsidRPr="003D4AEC">
        <w:rPr>
          <w:sz w:val="28"/>
          <w:szCs w:val="28"/>
        </w:rPr>
        <w:t xml:space="preserve">Đây là nội dung trọng tâm, xuyên suốt toàn bộ dự thảo: Điều 4 Quy định xác lập 03 Nhóm lĩnh vực công nghệ ưu tiên bám sát Danh mục công nghệ chiến lược quốc gia (trí tuệ nhân tạo, Internet vạn vật, robot và tự động hóa, thiết bị bay không người lái, công nghệ sinh học); điểm c khoản 1 Điều 6 hỗ trợ trực tiếp ứng dụng trí tuệ nhân tạo, Internet vạn vật, tự động hóa, phân tích dữ liệu trong sản xuất, quản trị doanh nghiệp; khoản 4 Điều 6 khuyến khích thêm bằng mức hỗ trợ cao hơn (50%) đối với công nghệ chiến lược theo Quyết định số 21/2026/QĐ-TTg. Yêu cầu về thể chế: đã được bảo đảm bằng chính dự thảo Nghị quyết; về nguồn lực tài chính: bố trí từ ngân sách nhà nước hằng năm theo dự toán được Hội đồng nhân dân tỉnh quyết định (Điều 9 Quy định), không ấn định trước tổng mức cho cả giai đoạn để bảo đảm phù hợp khả năng cân đối ngân sách thực tế. Các yếu tố ảnh hưởng đến triển khai: năng lực hấp thụ công nghệ của doanh nghiệp nhỏ và vừa trên địa bàn còn hạn chế, cần kết hợp hoạt động đào tạo, tập </w:t>
      </w:r>
      <w:r w:rsidRPr="003D4AEC">
        <w:rPr>
          <w:sz w:val="28"/>
          <w:szCs w:val="28"/>
        </w:rPr>
        <w:lastRenderedPageBreak/>
        <w:t>huấn kỹ thuật vận hành công nghệ (điểm đ khoản 1 Điều 6 Quy định); cơ chế phối hợp và tổ chức thực hiện đã được quy định tại Điều 10 Quy định.</w:t>
      </w:r>
    </w:p>
    <w:p w14:paraId="7CA57864" w14:textId="77777777" w:rsidR="003D4AEC" w:rsidRPr="003D4AEC" w:rsidRDefault="003D4AEC" w:rsidP="003D4AEC">
      <w:pPr>
        <w:spacing w:before="120" w:after="120"/>
        <w:ind w:firstLine="709"/>
        <w:jc w:val="both"/>
        <w:rPr>
          <w:b/>
          <w:bCs/>
          <w:sz w:val="28"/>
          <w:szCs w:val="28"/>
        </w:rPr>
      </w:pPr>
      <w:r w:rsidRPr="003D4AEC">
        <w:rPr>
          <w:b/>
          <w:bCs/>
          <w:sz w:val="28"/>
          <w:szCs w:val="28"/>
        </w:rPr>
        <w:t>4. Việc bảo đảm bình đẳng giới</w:t>
      </w:r>
    </w:p>
    <w:p w14:paraId="730899C6" w14:textId="77777777" w:rsidR="003D4AEC" w:rsidRPr="003D4AEC" w:rsidRDefault="003D4AEC" w:rsidP="003D4AEC">
      <w:pPr>
        <w:spacing w:before="120" w:after="120"/>
        <w:ind w:firstLine="709"/>
        <w:jc w:val="both"/>
        <w:rPr>
          <w:sz w:val="28"/>
          <w:szCs w:val="28"/>
        </w:rPr>
      </w:pPr>
      <w:r w:rsidRPr="003D4AEC">
        <w:rPr>
          <w:sz w:val="28"/>
          <w:szCs w:val="28"/>
        </w:rPr>
        <w:t>Dự thảo áp dụng thống nhất cho mọi tổ chức đáp ứng điều kiện quy định, không phân biệt giới tính của người đại diện theo pháp luật, chủ sở hữu hoặc người lao động của tổ chức thụ hưởng; các tiêu chí xét chọn, mức hỗ trợ tại Điều 5, Điều 6, Điều 7, Điều 8 Quy định hoàn toàn trung lập về giới. Do dự thảo không có quy định trực tiếp liên quan đến giới, không cần thực hiện đánh giá tác động giới chuyên sâu theo pháp luật về bình đẳng giới; trường hợp cần thiết, cơ quan chủ trì soạn thảo sẽ lấy ý kiến Hội Liên hiệp Phụ nữ Việt Nam tỉnh An Giang trong quá trình lấy ý kiến dự thảo.</w:t>
      </w:r>
    </w:p>
    <w:p w14:paraId="2C002E1A" w14:textId="77777777" w:rsidR="003D4AEC" w:rsidRPr="003D4AEC" w:rsidRDefault="003D4AEC" w:rsidP="003D4AEC">
      <w:pPr>
        <w:spacing w:before="120" w:after="120"/>
        <w:ind w:firstLine="709"/>
        <w:jc w:val="both"/>
        <w:rPr>
          <w:b/>
          <w:bCs/>
          <w:sz w:val="28"/>
          <w:szCs w:val="28"/>
        </w:rPr>
      </w:pPr>
      <w:r w:rsidRPr="003D4AEC">
        <w:rPr>
          <w:b/>
          <w:bCs/>
          <w:sz w:val="28"/>
          <w:szCs w:val="28"/>
        </w:rPr>
        <w:t>5. Việc thực hiện chính sách dân tộc</w:t>
      </w:r>
    </w:p>
    <w:p w14:paraId="1DF567F3" w14:textId="77777777" w:rsidR="003D4AEC" w:rsidRPr="003D4AEC" w:rsidRDefault="003D4AEC" w:rsidP="003D4AEC">
      <w:pPr>
        <w:spacing w:before="120" w:after="120"/>
        <w:ind w:firstLine="709"/>
        <w:jc w:val="both"/>
        <w:rPr>
          <w:sz w:val="28"/>
          <w:szCs w:val="28"/>
        </w:rPr>
      </w:pPr>
      <w:r w:rsidRPr="003D4AEC">
        <w:rPr>
          <w:sz w:val="28"/>
          <w:szCs w:val="28"/>
        </w:rPr>
        <w:t>Dự thảo áp dụng chung, thống nhất trên toàn địa bàn tỉnh An Giang, không có quy định riêng, phân biệt theo vùng đồng bào dân tộc thiểu số. Một số nội dung tại Nhóm 2 khoản 1 Điều 4 Quy định (nông nghiệp ứng dụng công nghệ cao, chế biến sâu nông sản, thủy sản) có khả năng mang lại lợi ích gián tiếp cho khu vực nông thôn, vùng có đông đồng bào dân tộc thiểu số sinh sống trên địa bàn tỉnh, phù hợp định hướng phát triển kinh tế - xã hội vùng đồng bào dân tộc thiểu số và miền núi theo chủ trương chung của Đảng, Nhà nước, không phát sinh nội dung bất lợi hoặc phân biệt đối xử.</w:t>
      </w:r>
    </w:p>
    <w:p w14:paraId="6AA19A36" w14:textId="77777777" w:rsidR="003D4AEC" w:rsidRPr="003D4AEC" w:rsidRDefault="003D4AEC" w:rsidP="003D4AEC">
      <w:pPr>
        <w:spacing w:before="120" w:after="120"/>
        <w:ind w:firstLine="709"/>
        <w:jc w:val="both"/>
        <w:rPr>
          <w:b/>
          <w:bCs/>
          <w:sz w:val="28"/>
          <w:szCs w:val="28"/>
        </w:rPr>
      </w:pPr>
      <w:r w:rsidRPr="003D4AEC">
        <w:rPr>
          <w:b/>
          <w:bCs/>
          <w:sz w:val="28"/>
          <w:szCs w:val="28"/>
        </w:rPr>
        <w:t>III. KẾT LUẬN, KIẾN NGHỊ</w:t>
      </w:r>
    </w:p>
    <w:p w14:paraId="7860F105" w14:textId="54A5E7A7" w:rsidR="00BD2881" w:rsidRPr="00C108A0" w:rsidRDefault="003D4AEC" w:rsidP="003D4AEC">
      <w:pPr>
        <w:spacing w:before="120" w:after="120"/>
        <w:ind w:firstLine="709"/>
        <w:jc w:val="both"/>
        <w:rPr>
          <w:sz w:val="28"/>
          <w:szCs w:val="28"/>
        </w:rPr>
      </w:pPr>
      <w:r w:rsidRPr="003D4AEC">
        <w:rPr>
          <w:sz w:val="28"/>
          <w:szCs w:val="28"/>
        </w:rPr>
        <w:t>Dự thảo Nghị quyết không quy định thủ tục hành chính mới; nội dung phân cấp cho Ủy ban nhân dân tỉnh là cần thiết, có cơ chế kiểm tra, giám sát rõ ràng; dự thảo thúc đẩy trực tiếp, mạnh mẽ việc ứng dụng, phát triển khoa học, công nghệ, đổi mới sáng tạo và chuyển đổi số theo đúng chủ trương tại Nghị quyết số 57-NQ/TW; bảo đảm bình đẳng giới và phù hợp chính sách dân tộc. Kết quả đánh giá nêu trên là cơ sở để Sở Tư pháp thực hiện thẩm định, Văn phòng Ủy ban nhân dân tỉnh cho ý kiến đối với dự thảo Nghị quyết theo quy định của pháp luật.</w:t>
      </w:r>
    </w:p>
    <w:p w14:paraId="3A0B3A96" w14:textId="77777777" w:rsidR="00BD2881" w:rsidRDefault="00BD2881">
      <w:pPr>
        <w:spacing w:after="200"/>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BD2881" w14:paraId="3BAA473A" w14:textId="77777777">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5BD36A60" w14:textId="77777777" w:rsidR="00BD2881" w:rsidRPr="00C108A0" w:rsidRDefault="00000000" w:rsidP="00C108A0">
            <w:pPr>
              <w:spacing w:after="20"/>
              <w:jc w:val="both"/>
              <w:rPr>
                <w:b/>
                <w:bCs/>
                <w:sz w:val="24"/>
                <w:szCs w:val="24"/>
              </w:rPr>
            </w:pPr>
            <w:r w:rsidRPr="00C108A0">
              <w:rPr>
                <w:b/>
                <w:bCs/>
                <w:i/>
                <w:iCs/>
                <w:sz w:val="24"/>
                <w:szCs w:val="24"/>
              </w:rPr>
              <w:t>Nơi nhận:</w:t>
            </w:r>
          </w:p>
          <w:p w14:paraId="58A4D591" w14:textId="77777777" w:rsidR="00BD2881" w:rsidRDefault="00000000" w:rsidP="00C108A0">
            <w:pPr>
              <w:spacing w:after="20"/>
              <w:jc w:val="both"/>
            </w:pPr>
            <w:r>
              <w:rPr>
                <w:sz w:val="22"/>
                <w:szCs w:val="22"/>
              </w:rPr>
              <w:t>- Hội đồng nhân dân tỉnh (để báo cáo);</w:t>
            </w:r>
          </w:p>
          <w:p w14:paraId="46A1FCB5" w14:textId="77777777" w:rsidR="00BD2881" w:rsidRDefault="00000000" w:rsidP="00C108A0">
            <w:pPr>
              <w:spacing w:after="20"/>
              <w:jc w:val="both"/>
            </w:pPr>
            <w:r>
              <w:rPr>
                <w:sz w:val="22"/>
                <w:szCs w:val="22"/>
              </w:rPr>
              <w:t>- Sở Tư pháp;</w:t>
            </w:r>
          </w:p>
          <w:p w14:paraId="4F688E36" w14:textId="77777777" w:rsidR="00BD2881" w:rsidRDefault="00000000" w:rsidP="00C108A0">
            <w:pPr>
              <w:spacing w:after="20"/>
              <w:jc w:val="both"/>
            </w:pPr>
            <w:r>
              <w:rPr>
                <w:sz w:val="22"/>
                <w:szCs w:val="22"/>
              </w:rPr>
              <w:t>- Lưu: VT.</w:t>
            </w:r>
          </w:p>
        </w:tc>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79247B04" w14:textId="77777777" w:rsidR="00BD2881" w:rsidRPr="00C108A0" w:rsidRDefault="00000000">
            <w:pPr>
              <w:spacing w:after="20"/>
              <w:jc w:val="center"/>
              <w:rPr>
                <w:sz w:val="26"/>
                <w:szCs w:val="26"/>
              </w:rPr>
            </w:pPr>
            <w:r w:rsidRPr="00C108A0">
              <w:rPr>
                <w:b/>
                <w:bCs/>
                <w:sz w:val="26"/>
                <w:szCs w:val="26"/>
              </w:rPr>
              <w:t>TM. ỦY BAN NHÂN DÂN</w:t>
            </w:r>
          </w:p>
          <w:p w14:paraId="07903AA6" w14:textId="77777777" w:rsidR="00BD2881" w:rsidRPr="00C108A0" w:rsidRDefault="00000000">
            <w:pPr>
              <w:spacing w:after="20"/>
              <w:jc w:val="center"/>
              <w:rPr>
                <w:sz w:val="26"/>
                <w:szCs w:val="26"/>
              </w:rPr>
            </w:pPr>
            <w:r w:rsidRPr="00C108A0">
              <w:rPr>
                <w:b/>
                <w:bCs/>
                <w:sz w:val="26"/>
                <w:szCs w:val="26"/>
              </w:rPr>
              <w:t>KT. CHỦ TỊCH</w:t>
            </w:r>
          </w:p>
          <w:p w14:paraId="43269EE3" w14:textId="77777777" w:rsidR="00BD2881" w:rsidRDefault="00000000">
            <w:pPr>
              <w:spacing w:after="20"/>
              <w:jc w:val="center"/>
            </w:pPr>
            <w:r w:rsidRPr="00C108A0">
              <w:rPr>
                <w:b/>
                <w:bCs/>
                <w:sz w:val="26"/>
                <w:szCs w:val="26"/>
              </w:rPr>
              <w:t>PHÓ CHỦ TỊCH</w:t>
            </w:r>
          </w:p>
        </w:tc>
      </w:tr>
    </w:tbl>
    <w:p w14:paraId="0E7B50F8" w14:textId="77777777" w:rsidR="00E1047F" w:rsidRDefault="00E1047F"/>
    <w:sectPr w:rsidR="00E1047F" w:rsidSect="00C108A0">
      <w:headerReference w:type="default" r:id="rId7"/>
      <w:pgSz w:w="11907" w:h="16840"/>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87756" w14:textId="77777777" w:rsidR="00481809" w:rsidRDefault="00481809" w:rsidP="00C108A0">
      <w:r>
        <w:separator/>
      </w:r>
    </w:p>
  </w:endnote>
  <w:endnote w:type="continuationSeparator" w:id="0">
    <w:p w14:paraId="3D864338" w14:textId="77777777" w:rsidR="00481809" w:rsidRDefault="00481809" w:rsidP="00C1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DA8F1" w14:textId="77777777" w:rsidR="00481809" w:rsidRDefault="00481809" w:rsidP="00C108A0">
      <w:r>
        <w:separator/>
      </w:r>
    </w:p>
  </w:footnote>
  <w:footnote w:type="continuationSeparator" w:id="0">
    <w:p w14:paraId="60FF31C6" w14:textId="77777777" w:rsidR="00481809" w:rsidRDefault="00481809" w:rsidP="00C10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315407"/>
      <w:docPartObj>
        <w:docPartGallery w:val="Page Numbers (Top of Page)"/>
        <w:docPartUnique/>
      </w:docPartObj>
    </w:sdtPr>
    <w:sdtEndPr>
      <w:rPr>
        <w:noProof/>
        <w:sz w:val="24"/>
        <w:szCs w:val="24"/>
      </w:rPr>
    </w:sdtEndPr>
    <w:sdtContent>
      <w:p w14:paraId="1435A2B9" w14:textId="69613A4E" w:rsidR="00C108A0" w:rsidRPr="00C108A0" w:rsidRDefault="00C108A0">
        <w:pPr>
          <w:pStyle w:val="Header"/>
          <w:jc w:val="center"/>
          <w:rPr>
            <w:sz w:val="24"/>
            <w:szCs w:val="24"/>
          </w:rPr>
        </w:pPr>
        <w:r w:rsidRPr="00C108A0">
          <w:rPr>
            <w:sz w:val="24"/>
            <w:szCs w:val="24"/>
          </w:rPr>
          <w:fldChar w:fldCharType="begin"/>
        </w:r>
        <w:r w:rsidRPr="00C108A0">
          <w:rPr>
            <w:sz w:val="24"/>
            <w:szCs w:val="24"/>
          </w:rPr>
          <w:instrText xml:space="preserve"> PAGE   \* MERGEFORMAT </w:instrText>
        </w:r>
        <w:r w:rsidRPr="00C108A0">
          <w:rPr>
            <w:sz w:val="24"/>
            <w:szCs w:val="24"/>
          </w:rPr>
          <w:fldChar w:fldCharType="separate"/>
        </w:r>
        <w:r w:rsidRPr="00C108A0">
          <w:rPr>
            <w:noProof/>
            <w:sz w:val="24"/>
            <w:szCs w:val="24"/>
          </w:rPr>
          <w:t>2</w:t>
        </w:r>
        <w:r w:rsidRPr="00C108A0">
          <w:rPr>
            <w:noProof/>
            <w:sz w:val="24"/>
            <w:szCs w:val="24"/>
          </w:rPr>
          <w:fldChar w:fldCharType="end"/>
        </w:r>
      </w:p>
    </w:sdtContent>
  </w:sdt>
  <w:p w14:paraId="53668181" w14:textId="77777777" w:rsidR="00C108A0" w:rsidRDefault="00C10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D6A3A"/>
    <w:multiLevelType w:val="hybridMultilevel"/>
    <w:tmpl w:val="E7F07404"/>
    <w:lvl w:ilvl="0" w:tplc="40B6F32C">
      <w:start w:val="1"/>
      <w:numFmt w:val="bullet"/>
      <w:lvlText w:val="●"/>
      <w:lvlJc w:val="left"/>
      <w:pPr>
        <w:ind w:left="720" w:hanging="360"/>
      </w:pPr>
    </w:lvl>
    <w:lvl w:ilvl="1" w:tplc="97423AC6">
      <w:start w:val="1"/>
      <w:numFmt w:val="bullet"/>
      <w:lvlText w:val="○"/>
      <w:lvlJc w:val="left"/>
      <w:pPr>
        <w:ind w:left="1440" w:hanging="360"/>
      </w:pPr>
    </w:lvl>
    <w:lvl w:ilvl="2" w:tplc="1B42191E">
      <w:start w:val="1"/>
      <w:numFmt w:val="bullet"/>
      <w:lvlText w:val="■"/>
      <w:lvlJc w:val="left"/>
      <w:pPr>
        <w:ind w:left="2160" w:hanging="360"/>
      </w:pPr>
    </w:lvl>
    <w:lvl w:ilvl="3" w:tplc="EB580F4C">
      <w:start w:val="1"/>
      <w:numFmt w:val="bullet"/>
      <w:lvlText w:val="●"/>
      <w:lvlJc w:val="left"/>
      <w:pPr>
        <w:ind w:left="2880" w:hanging="360"/>
      </w:pPr>
    </w:lvl>
    <w:lvl w:ilvl="4" w:tplc="216ED2C6">
      <w:start w:val="1"/>
      <w:numFmt w:val="bullet"/>
      <w:lvlText w:val="○"/>
      <w:lvlJc w:val="left"/>
      <w:pPr>
        <w:ind w:left="3600" w:hanging="360"/>
      </w:pPr>
    </w:lvl>
    <w:lvl w:ilvl="5" w:tplc="7670062C">
      <w:start w:val="1"/>
      <w:numFmt w:val="bullet"/>
      <w:lvlText w:val="■"/>
      <w:lvlJc w:val="left"/>
      <w:pPr>
        <w:ind w:left="4320" w:hanging="360"/>
      </w:pPr>
    </w:lvl>
    <w:lvl w:ilvl="6" w:tplc="26784798">
      <w:start w:val="1"/>
      <w:numFmt w:val="bullet"/>
      <w:lvlText w:val="●"/>
      <w:lvlJc w:val="left"/>
      <w:pPr>
        <w:ind w:left="5040" w:hanging="360"/>
      </w:pPr>
    </w:lvl>
    <w:lvl w:ilvl="7" w:tplc="EC701556">
      <w:start w:val="1"/>
      <w:numFmt w:val="bullet"/>
      <w:lvlText w:val="●"/>
      <w:lvlJc w:val="left"/>
      <w:pPr>
        <w:ind w:left="5760" w:hanging="360"/>
      </w:pPr>
    </w:lvl>
    <w:lvl w:ilvl="8" w:tplc="EE1677B4">
      <w:start w:val="1"/>
      <w:numFmt w:val="bullet"/>
      <w:lvlText w:val="●"/>
      <w:lvlJc w:val="left"/>
      <w:pPr>
        <w:ind w:left="6480" w:hanging="360"/>
      </w:pPr>
    </w:lvl>
  </w:abstractNum>
  <w:num w:numId="1" w16cid:durableId="17991773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881"/>
    <w:rsid w:val="003D4AEC"/>
    <w:rsid w:val="00481809"/>
    <w:rsid w:val="004A7DAE"/>
    <w:rsid w:val="006032D0"/>
    <w:rsid w:val="00840B54"/>
    <w:rsid w:val="00B83625"/>
    <w:rsid w:val="00BD2881"/>
    <w:rsid w:val="00BE278E"/>
    <w:rsid w:val="00C108A0"/>
    <w:rsid w:val="00E1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43C4"/>
  <w15:docId w15:val="{2DD9FCBD-8A0F-4D65-AC2A-977BE5C1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108A0"/>
    <w:pPr>
      <w:tabs>
        <w:tab w:val="center" w:pos="4680"/>
        <w:tab w:val="right" w:pos="9360"/>
      </w:tabs>
    </w:pPr>
  </w:style>
  <w:style w:type="character" w:customStyle="1" w:styleId="HeaderChar">
    <w:name w:val="Header Char"/>
    <w:basedOn w:val="DefaultParagraphFont"/>
    <w:link w:val="Header"/>
    <w:uiPriority w:val="99"/>
    <w:rsid w:val="00C108A0"/>
  </w:style>
  <w:style w:type="paragraph" w:styleId="Footer">
    <w:name w:val="footer"/>
    <w:basedOn w:val="Normal"/>
    <w:link w:val="FooterChar"/>
    <w:uiPriority w:val="99"/>
    <w:unhideWhenUsed/>
    <w:rsid w:val="00C108A0"/>
    <w:pPr>
      <w:tabs>
        <w:tab w:val="center" w:pos="4680"/>
        <w:tab w:val="right" w:pos="9360"/>
      </w:tabs>
    </w:pPr>
  </w:style>
  <w:style w:type="character" w:customStyle="1" w:styleId="FooterChar">
    <w:name w:val="Footer Char"/>
    <w:basedOn w:val="DefaultParagraphFont"/>
    <w:link w:val="Footer"/>
    <w:uiPriority w:val="99"/>
    <w:rsid w:val="00C1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3</cp:revision>
  <dcterms:created xsi:type="dcterms:W3CDTF">2026-08-14T07:12:00Z</dcterms:created>
  <dcterms:modified xsi:type="dcterms:W3CDTF">2026-08-14T07:45:00Z</dcterms:modified>
</cp:coreProperties>
</file>